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F80" w:rsidRDefault="00201B5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Информация о ценах (тарифах) на товары (работы, услуги) АО «СПГЭС», включая информацию о тарифах на услуги по передаче электрической энергии и размерах платы за технологическое присоединение к электрическим сетям на текущий период регулирования, с </w:t>
      </w:r>
      <w:r>
        <w:rPr>
          <w:rFonts w:ascii="Times New Roman" w:hAnsi="Times New Roman"/>
          <w:b/>
        </w:rPr>
        <w:t>указанием источника официального опубликования решения регулирующего органа об установлении тарифов</w:t>
      </w:r>
    </w:p>
    <w:p w:rsidR="00516F80" w:rsidRDefault="00516F80">
      <w:pPr>
        <w:jc w:val="center"/>
        <w:rPr>
          <w:rFonts w:ascii="Times New Roman" w:hAnsi="Times New Roman"/>
        </w:rPr>
      </w:pPr>
    </w:p>
    <w:p w:rsidR="00516F80" w:rsidRDefault="00516F80">
      <w:pPr>
        <w:spacing w:after="0" w:line="240" w:lineRule="auto"/>
        <w:jc w:val="center"/>
        <w:rPr>
          <w:rFonts w:ascii="Times New Roman" w:hAnsi="Times New Roman"/>
        </w:rPr>
      </w:pPr>
    </w:p>
    <w:p w:rsidR="00516F80" w:rsidRPr="00BF5FFF" w:rsidRDefault="00BF5FFF">
      <w:pPr>
        <w:jc w:val="center"/>
        <w:rPr>
          <w:rStyle w:val="a6"/>
          <w:rFonts w:ascii="Times New Roman" w:hAnsi="Times New Roman"/>
        </w:rPr>
      </w:pPr>
      <w:r>
        <w:rPr>
          <w:rStyle w:val="a6"/>
          <w:rFonts w:ascii="Times New Roman" w:hAnsi="Times New Roman"/>
        </w:rPr>
        <w:fldChar w:fldCharType="begin"/>
      </w:r>
      <w:r>
        <w:rPr>
          <w:rStyle w:val="a6"/>
          <w:rFonts w:ascii="Times New Roman" w:hAnsi="Times New Roman"/>
        </w:rPr>
        <w:instrText xml:space="preserve"> HYPERLINK "https://g-64.ru/docs/komitet-gosudarstvennogo-regulirovaniya-tarifov-oblasti/postanovlenie-komiteta-gosudarstvennogo-regulirovaniya-tarifov-saratovskoy-oblasti-ot-28-noyabrya-2025-goda-59/" </w:instrText>
      </w:r>
      <w:r>
        <w:rPr>
          <w:rStyle w:val="a6"/>
          <w:rFonts w:ascii="Times New Roman" w:hAnsi="Times New Roman"/>
        </w:rPr>
      </w:r>
      <w:r>
        <w:rPr>
          <w:rStyle w:val="a6"/>
          <w:rFonts w:ascii="Times New Roman" w:hAnsi="Times New Roman"/>
        </w:rPr>
        <w:fldChar w:fldCharType="separate"/>
      </w:r>
      <w:r w:rsidR="00201B5A" w:rsidRPr="00BF5FFF">
        <w:rPr>
          <w:rStyle w:val="a6"/>
          <w:rFonts w:ascii="Times New Roman" w:hAnsi="Times New Roman"/>
        </w:rPr>
        <w:t>Постановлением комитета государственного регулиров</w:t>
      </w:r>
      <w:r w:rsidR="00201B5A" w:rsidRPr="00BF5FFF">
        <w:rPr>
          <w:rStyle w:val="a6"/>
          <w:rFonts w:ascii="Times New Roman" w:hAnsi="Times New Roman"/>
        </w:rPr>
        <w:t>ания тарифов Саратовской области от 2</w:t>
      </w:r>
      <w:r w:rsidRPr="00BF5FFF">
        <w:rPr>
          <w:rStyle w:val="a6"/>
          <w:rFonts w:ascii="Times New Roman" w:hAnsi="Times New Roman"/>
        </w:rPr>
        <w:t>8</w:t>
      </w:r>
      <w:r w:rsidR="00201B5A" w:rsidRPr="00BF5FFF">
        <w:rPr>
          <w:rStyle w:val="a6"/>
          <w:rFonts w:ascii="Times New Roman" w:hAnsi="Times New Roman"/>
        </w:rPr>
        <w:t xml:space="preserve"> ноября 202</w:t>
      </w:r>
      <w:r w:rsidRPr="00BF5FFF">
        <w:rPr>
          <w:rStyle w:val="a6"/>
          <w:rFonts w:ascii="Times New Roman" w:hAnsi="Times New Roman"/>
        </w:rPr>
        <w:t>5 года № 59</w:t>
      </w:r>
      <w:r w:rsidR="00201B5A" w:rsidRPr="00BF5FFF">
        <w:rPr>
          <w:rStyle w:val="a6"/>
          <w:rFonts w:ascii="Times New Roman" w:hAnsi="Times New Roman"/>
        </w:rPr>
        <w:t xml:space="preserve"> «</w:t>
      </w:r>
      <w:r w:rsidR="00201B5A" w:rsidRPr="00BF5FFF">
        <w:rPr>
          <w:rStyle w:val="a6"/>
          <w:rFonts w:ascii="Times New Roman" w:hAnsi="Times New Roman"/>
          <w:bCs/>
        </w:rPr>
        <w:t xml:space="preserve">Об установлении стандартизированных тарифных ставок и формул для расчета платы за технологическое присоединение </w:t>
      </w:r>
      <w:proofErr w:type="spellStart"/>
      <w:r w:rsidR="00201B5A" w:rsidRPr="00BF5FFF">
        <w:rPr>
          <w:rStyle w:val="a6"/>
          <w:rFonts w:ascii="Times New Roman" w:hAnsi="Times New Roman"/>
          <w:bCs/>
        </w:rPr>
        <w:t>энергопринимающих</w:t>
      </w:r>
      <w:proofErr w:type="spellEnd"/>
      <w:r w:rsidR="00201B5A" w:rsidRPr="00BF5FFF">
        <w:rPr>
          <w:rStyle w:val="a6"/>
          <w:rFonts w:ascii="Times New Roman" w:hAnsi="Times New Roman"/>
          <w:bCs/>
        </w:rPr>
        <w:t xml:space="preserve"> устройств (энергетических установок) к электрическим сетям терри</w:t>
      </w:r>
      <w:r w:rsidR="00201B5A" w:rsidRPr="00BF5FFF">
        <w:rPr>
          <w:rStyle w:val="a6"/>
          <w:rFonts w:ascii="Times New Roman" w:hAnsi="Times New Roman"/>
          <w:bCs/>
        </w:rPr>
        <w:t>ториальных сетевых организаций Саратовской области на 202</w:t>
      </w:r>
      <w:r w:rsidRPr="00BF5FFF">
        <w:rPr>
          <w:rStyle w:val="a6"/>
          <w:rFonts w:ascii="Times New Roman" w:hAnsi="Times New Roman"/>
          <w:bCs/>
        </w:rPr>
        <w:t>6</w:t>
      </w:r>
      <w:r w:rsidR="00201B5A" w:rsidRPr="00BF5FFF">
        <w:rPr>
          <w:rStyle w:val="a6"/>
          <w:rFonts w:ascii="Times New Roman" w:hAnsi="Times New Roman"/>
          <w:bCs/>
        </w:rPr>
        <w:t xml:space="preserve"> год</w:t>
      </w:r>
      <w:r w:rsidR="00201B5A" w:rsidRPr="00BF5FFF">
        <w:rPr>
          <w:rStyle w:val="a6"/>
          <w:rFonts w:ascii="Times New Roman" w:hAnsi="Times New Roman"/>
        </w:rPr>
        <w:t>» установлены и введены в действие с 1 января 202</w:t>
      </w:r>
      <w:r w:rsidRPr="00BF5FFF">
        <w:rPr>
          <w:rStyle w:val="a6"/>
          <w:rFonts w:ascii="Times New Roman" w:hAnsi="Times New Roman"/>
        </w:rPr>
        <w:t>6</w:t>
      </w:r>
      <w:r w:rsidR="00201B5A" w:rsidRPr="00BF5FFF">
        <w:rPr>
          <w:rStyle w:val="a6"/>
          <w:rFonts w:ascii="Times New Roman" w:hAnsi="Times New Roman"/>
        </w:rPr>
        <w:t xml:space="preserve"> года по 31 декабря 202</w:t>
      </w:r>
      <w:r w:rsidRPr="00BF5FFF">
        <w:rPr>
          <w:rStyle w:val="a6"/>
          <w:rFonts w:ascii="Times New Roman" w:hAnsi="Times New Roman"/>
        </w:rPr>
        <w:t>6</w:t>
      </w:r>
      <w:r w:rsidR="00201B5A" w:rsidRPr="00BF5FFF">
        <w:rPr>
          <w:rStyle w:val="a6"/>
          <w:rFonts w:ascii="Times New Roman" w:hAnsi="Times New Roman"/>
        </w:rPr>
        <w:t xml:space="preserve"> года:</w:t>
      </w:r>
    </w:p>
    <w:p w:rsidR="00516F80" w:rsidRDefault="00BF5FFF">
      <w:pPr>
        <w:pStyle w:val="af1"/>
        <w:spacing w:beforeAutospacing="0" w:after="0" w:afterAutospacing="0"/>
        <w:ind w:left="720"/>
        <w:jc w:val="center"/>
        <w:rPr>
          <w:color w:val="000000"/>
          <w:sz w:val="22"/>
          <w:szCs w:val="17"/>
        </w:rPr>
      </w:pPr>
      <w:r>
        <w:rPr>
          <w:rStyle w:val="a6"/>
          <w:rFonts w:eastAsia="Calibri"/>
          <w:sz w:val="22"/>
          <w:szCs w:val="22"/>
          <w:lang w:eastAsia="en-US"/>
        </w:rPr>
        <w:fldChar w:fldCharType="end"/>
      </w:r>
    </w:p>
    <w:p w:rsidR="00516F80" w:rsidRDefault="00201B5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 xml:space="preserve">Стандартизированная тарифная ставка С1 на покрытие расходов на технологическое присоединение </w:t>
      </w:r>
      <w:proofErr w:type="spellStart"/>
      <w:r>
        <w:rPr>
          <w:rFonts w:ascii="Times New Roman" w:hAnsi="Times New Roman"/>
          <w:sz w:val="24"/>
        </w:rPr>
        <w:t>энергопринимающих</w:t>
      </w:r>
      <w:proofErr w:type="spellEnd"/>
      <w:r>
        <w:rPr>
          <w:rFonts w:ascii="Times New Roman" w:hAnsi="Times New Roman"/>
          <w:sz w:val="24"/>
        </w:rPr>
        <w:t xml:space="preserve">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организаций Саратовской области на 202</w:t>
      </w:r>
      <w:r w:rsidR="00BF5FFF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год.</w:t>
      </w:r>
    </w:p>
    <w:p w:rsidR="00516F80" w:rsidRDefault="00201B5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1</w:t>
      </w:r>
      <w:bookmarkStart w:id="0" w:name="_GoBack"/>
      <w:bookmarkEnd w:id="0"/>
      <w:r>
        <w:rPr>
          <w:rFonts w:ascii="Times New Roman" w:hAnsi="Times New Roman"/>
        </w:rPr>
        <w:t>.</w:t>
      </w:r>
    </w:p>
    <w:p w:rsidR="00516F80" w:rsidRDefault="00201B5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(без учета НДС)</w:t>
      </w:r>
    </w:p>
    <w:tbl>
      <w:tblPr>
        <w:tblW w:w="1020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480"/>
        <w:gridCol w:w="2904"/>
        <w:gridCol w:w="3480"/>
        <w:gridCol w:w="2342"/>
      </w:tblGrid>
      <w:tr w:rsidR="00516F80">
        <w:tc>
          <w:tcPr>
            <w:tcW w:w="1479" w:type="dxa"/>
            <w:tcBorders>
              <w:top w:val="single" w:sz="4" w:space="0" w:color="000000"/>
              <w:left w:val="single" w:sz="4" w:space="0" w:color="000000"/>
            </w:tcBorders>
          </w:tcPr>
          <w:p w:rsidR="00516F80" w:rsidRDefault="00201B5A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Обозначение</w:t>
            </w:r>
          </w:p>
        </w:tc>
        <w:tc>
          <w:tcPr>
            <w:tcW w:w="6384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516F80" w:rsidRDefault="00201B5A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ставки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6F80" w:rsidRDefault="00201B5A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Стандартизированная ставка в ценах периода регулирования (руб. за одно присоединение) (без учета НДС)</w:t>
            </w:r>
          </w:p>
        </w:tc>
      </w:tr>
      <w:tr w:rsidR="00516F80"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F80" w:rsidRDefault="00201B5A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С1</w:t>
            </w:r>
          </w:p>
        </w:tc>
        <w:tc>
          <w:tcPr>
            <w:tcW w:w="2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F80" w:rsidRDefault="00201B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Стандартизированная тарифная ставка на покрытие расходов на технологическое присоединение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энергопринимающих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устройств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потребителей электрической энергии, объектов электросетевого хозяйства, принадлежащих сетевым организациям и иным лицам, на подготовку и выдачу сетевой организацией технических условий заявителю и проверку сетевой организацией выполнения технических услови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й заявителем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</w:tcBorders>
          </w:tcPr>
          <w:p w:rsidR="00516F80" w:rsidRDefault="00201B5A">
            <w:pPr>
              <w:spacing w:after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случаев технологического присоединения объектов Заявителей, указанных в пунктах 12(1), 13(2) - 13(5) и 14 Правил технологического присоединения, если технологическое присоединение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энергопринимающих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устройств таких Заявителей осуществляется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уровне напряжения 0,4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ниже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6F80" w:rsidRDefault="00BF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21702,63</w:t>
            </w:r>
          </w:p>
        </w:tc>
      </w:tr>
      <w:tr w:rsidR="00516F80">
        <w:tc>
          <w:tcPr>
            <w:tcW w:w="1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F80" w:rsidRDefault="00516F80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F80" w:rsidRDefault="00516F80">
            <w:pPr>
              <w:pStyle w:val="af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</w:tcBorders>
          </w:tcPr>
          <w:p w:rsidR="00516F80" w:rsidRDefault="00201B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для случаев технологического присоединения объектов Заявителей, не предусмотренных абзацем шестым пункта 24 Методических указаний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6F80" w:rsidRDefault="00BF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31937,75</w:t>
            </w:r>
          </w:p>
        </w:tc>
      </w:tr>
      <w:tr w:rsidR="00516F80">
        <w:tc>
          <w:tcPr>
            <w:tcW w:w="1479" w:type="dxa"/>
            <w:tcBorders>
              <w:top w:val="single" w:sz="4" w:space="0" w:color="000000"/>
              <w:left w:val="single" w:sz="4" w:space="0" w:color="000000"/>
            </w:tcBorders>
          </w:tcPr>
          <w:p w:rsidR="00516F80" w:rsidRDefault="00201B5A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С1.1</w:t>
            </w:r>
          </w:p>
        </w:tc>
        <w:tc>
          <w:tcPr>
            <w:tcW w:w="6384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516F80" w:rsidRDefault="00201B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стандартизированная тарифная ставка на покрытие расходов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сетевой организации на подготовку и выдачу сетевой организацией технических условий заявителю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6F80" w:rsidRDefault="00BF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12381,75</w:t>
            </w:r>
          </w:p>
        </w:tc>
      </w:tr>
      <w:tr w:rsidR="00516F80">
        <w:tc>
          <w:tcPr>
            <w:tcW w:w="1479" w:type="dxa"/>
            <w:tcBorders>
              <w:top w:val="single" w:sz="4" w:space="0" w:color="000000"/>
              <w:left w:val="single" w:sz="4" w:space="0" w:color="000000"/>
            </w:tcBorders>
          </w:tcPr>
          <w:p w:rsidR="00516F80" w:rsidRDefault="00201B5A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С1.2.1</w:t>
            </w:r>
          </w:p>
        </w:tc>
        <w:tc>
          <w:tcPr>
            <w:tcW w:w="6384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516F80" w:rsidRDefault="00201B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стандартизированная тарифная ставка на покрытие расходов на выдачу уведомления об обеспечении сетевой организацией возможности присоединения к э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лектрическим сетям Заявителям, указанным в абзаце шестом пункта 24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6F80" w:rsidRDefault="00BF5F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9320,88</w:t>
            </w:r>
          </w:p>
        </w:tc>
      </w:tr>
      <w:tr w:rsidR="00516F80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F80" w:rsidRDefault="00201B5A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С1.2.2</w:t>
            </w:r>
          </w:p>
        </w:tc>
        <w:tc>
          <w:tcPr>
            <w:tcW w:w="6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6F80" w:rsidRDefault="00201B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стандартизированная тарифная ставка на покрытие расходов 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проверку выполнения технических условий Заявителями, указанными в абзаце седьмом пункта 24 Методических указаний по определению размера платы за технологическое присоединение к электрическим сетям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F80" w:rsidRDefault="00BF5FFF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19556,00</w:t>
            </w:r>
          </w:p>
        </w:tc>
      </w:tr>
    </w:tbl>
    <w:p w:rsidR="00516F80" w:rsidRDefault="00516F80">
      <w:pPr>
        <w:jc w:val="center"/>
        <w:rPr>
          <w:rFonts w:ascii="Times New Roman" w:hAnsi="Times New Roman"/>
          <w:sz w:val="24"/>
        </w:rPr>
      </w:pPr>
    </w:p>
    <w:p w:rsidR="00516F80" w:rsidRDefault="00516F80">
      <w:pPr>
        <w:spacing w:after="0" w:line="240" w:lineRule="auto"/>
        <w:jc w:val="center"/>
        <w:rPr>
          <w:rFonts w:ascii="Times New Roman" w:hAnsi="Times New Roman"/>
        </w:rPr>
      </w:pPr>
    </w:p>
    <w:p w:rsidR="00516F80" w:rsidRDefault="00516F80">
      <w:pPr>
        <w:spacing w:after="0" w:line="240" w:lineRule="auto"/>
        <w:jc w:val="center"/>
        <w:rPr>
          <w:rFonts w:ascii="Times New Roman" w:hAnsi="Times New Roman"/>
        </w:rPr>
      </w:pPr>
    </w:p>
    <w:p w:rsidR="00516F80" w:rsidRDefault="00516F80">
      <w:pPr>
        <w:spacing w:after="0" w:line="240" w:lineRule="auto"/>
        <w:jc w:val="center"/>
        <w:rPr>
          <w:rFonts w:ascii="Times New Roman" w:hAnsi="Times New Roman"/>
        </w:rPr>
      </w:pPr>
    </w:p>
    <w:p w:rsidR="00516F80" w:rsidRDefault="00516F80">
      <w:pPr>
        <w:spacing w:after="0" w:line="240" w:lineRule="auto"/>
        <w:jc w:val="center"/>
        <w:rPr>
          <w:rFonts w:ascii="Times New Roman" w:hAnsi="Times New Roman"/>
        </w:rPr>
      </w:pPr>
    </w:p>
    <w:p w:rsidR="00516F80" w:rsidRDefault="00516F80">
      <w:pPr>
        <w:spacing w:after="0" w:line="240" w:lineRule="auto"/>
        <w:jc w:val="center"/>
        <w:rPr>
          <w:rFonts w:ascii="Times New Roman" w:hAnsi="Times New Roman"/>
        </w:rPr>
      </w:pPr>
    </w:p>
    <w:p w:rsidR="00516F80" w:rsidRDefault="00516F80">
      <w:pPr>
        <w:spacing w:after="0" w:line="240" w:lineRule="auto"/>
        <w:jc w:val="center"/>
        <w:rPr>
          <w:rFonts w:ascii="Times New Roman" w:hAnsi="Times New Roman"/>
        </w:rPr>
      </w:pPr>
    </w:p>
    <w:p w:rsidR="00516F80" w:rsidRDefault="00516F80">
      <w:pPr>
        <w:spacing w:after="0" w:line="240" w:lineRule="auto"/>
        <w:jc w:val="center"/>
        <w:rPr>
          <w:rFonts w:ascii="Times New Roman" w:hAnsi="Times New Roman"/>
        </w:rPr>
      </w:pPr>
    </w:p>
    <w:p w:rsidR="00516F80" w:rsidRDefault="00516F80">
      <w:pPr>
        <w:spacing w:after="0" w:line="240" w:lineRule="auto"/>
        <w:jc w:val="center"/>
        <w:rPr>
          <w:rFonts w:ascii="Times New Roman" w:hAnsi="Times New Roman"/>
        </w:rPr>
      </w:pPr>
    </w:p>
    <w:p w:rsidR="00516F80" w:rsidRDefault="00516F80">
      <w:pPr>
        <w:spacing w:after="0" w:line="240" w:lineRule="auto"/>
        <w:jc w:val="center"/>
        <w:rPr>
          <w:rFonts w:ascii="Times New Roman" w:hAnsi="Times New Roman"/>
        </w:rPr>
      </w:pPr>
    </w:p>
    <w:p w:rsidR="00516F80" w:rsidRDefault="00201B5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Стандартизированные тарифные ставки </w:t>
      </w:r>
      <w:r>
        <w:rPr>
          <w:rFonts w:ascii="Times New Roman" w:hAnsi="Times New Roman"/>
        </w:rPr>
        <w:t xml:space="preserve">(С2, С3, С4, С5, С6, С7, С8) на технологическое присоединение </w:t>
      </w:r>
      <w:proofErr w:type="spellStart"/>
      <w:r>
        <w:rPr>
          <w:rFonts w:ascii="Times New Roman" w:hAnsi="Times New Roman"/>
        </w:rPr>
        <w:t>энергопринимающих</w:t>
      </w:r>
      <w:proofErr w:type="spellEnd"/>
      <w:r>
        <w:rPr>
          <w:rFonts w:ascii="Times New Roman" w:hAnsi="Times New Roman"/>
        </w:rPr>
        <w:t xml:space="preserve"> устройств потребителей электрической энергии, объектов электросетевого хозяйства, принадлежащих сетевым организациям и иным лицам к электрическим сетям территориальных сетевых </w:t>
      </w:r>
      <w:r>
        <w:rPr>
          <w:rFonts w:ascii="Times New Roman" w:hAnsi="Times New Roman"/>
        </w:rPr>
        <w:t xml:space="preserve">организаций Саратовской области, включающие расходы сетевой организации на строительство объектов электросетевого хозяйства от существующих объектов электросетевого хозяйства до присоединяемых </w:t>
      </w:r>
      <w:proofErr w:type="spellStart"/>
      <w:r>
        <w:rPr>
          <w:rFonts w:ascii="Times New Roman" w:hAnsi="Times New Roman"/>
        </w:rPr>
        <w:t>энергопринимающих</w:t>
      </w:r>
      <w:proofErr w:type="spellEnd"/>
      <w:r>
        <w:rPr>
          <w:rFonts w:ascii="Times New Roman" w:hAnsi="Times New Roman"/>
        </w:rPr>
        <w:t xml:space="preserve"> устройств на 202</w:t>
      </w:r>
      <w:r w:rsidR="00BF5FF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год.</w:t>
      </w:r>
    </w:p>
    <w:p w:rsidR="00516F80" w:rsidRDefault="00201B5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2</w:t>
      </w:r>
      <w:r>
        <w:rPr>
          <w:rFonts w:ascii="Times New Roman" w:hAnsi="Times New Roman"/>
        </w:rPr>
        <w:t>.</w:t>
      </w:r>
    </w:p>
    <w:p w:rsidR="00516F80" w:rsidRDefault="00201B5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(без учета </w:t>
      </w:r>
      <w:r>
        <w:rPr>
          <w:rFonts w:ascii="Times New Roman" w:hAnsi="Times New Roman"/>
        </w:rPr>
        <w:t>НДС)</w:t>
      </w:r>
    </w:p>
    <w:p w:rsidR="00516F80" w:rsidRDefault="00516F80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48"/>
        <w:gridCol w:w="1040"/>
        <w:gridCol w:w="1037"/>
        <w:gridCol w:w="1939"/>
      </w:tblGrid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N</w:t>
            </w:r>
            <w:r w:rsidRPr="00BF5FFF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proofErr w:type="spellStart"/>
            <w:r w:rsidRPr="00BF5FFF">
              <w:rPr>
                <w:sz w:val="18"/>
                <w:szCs w:val="18"/>
              </w:rPr>
              <w:t>Обознач</w:t>
            </w:r>
            <w:proofErr w:type="spellEnd"/>
            <w:r w:rsidRPr="00BF5FFF">
              <w:rPr>
                <w:sz w:val="18"/>
                <w:szCs w:val="18"/>
              </w:rPr>
              <w:t>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Ед. изм.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Размер стандартизированных тарифных ставок (без учета НДС)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Стандартизированная тарифная ставка на покрытие расходов сетевой организации на строительство воздушных линий электропередачи в расчете на 1 км линий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С2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руб./км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напряжения НН (0,4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  <w:r w:rsidRPr="00BF5FFF">
              <w:rPr>
                <w:sz w:val="18"/>
                <w:szCs w:val="18"/>
              </w:rPr>
              <w:t xml:space="preserve"> и ниже)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1.1.1.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изолированным алюминиевым проводом на деревянных опорах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до 50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2.1.1.4.1.1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4684 945,94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1.1.2.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изолированным алюминиевым проводом на металлических опорах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до 50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2.1.1.4.1.1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4682 649,12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50 до 100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2.1.1.4.2.1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4 530 657,53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100 до 200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2.2.1.4.3.1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3 182 647,06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1.1.3.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изолированным </w:t>
            </w:r>
            <w:proofErr w:type="spellStart"/>
            <w:r w:rsidRPr="00BF5FFF">
              <w:rPr>
                <w:sz w:val="18"/>
                <w:szCs w:val="18"/>
              </w:rPr>
              <w:t>сталеалюминиевым</w:t>
            </w:r>
            <w:proofErr w:type="spellEnd"/>
            <w:r w:rsidRPr="00BF5FFF">
              <w:rPr>
                <w:sz w:val="18"/>
                <w:szCs w:val="18"/>
              </w:rPr>
              <w:t xml:space="preserve"> проводом на железобетонных опорах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до 50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2.3.1.3.1.1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2 332 103,54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50 до 100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2.3.1.3.2.1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2 372 351,74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100 до 200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2.3.1.3.3.1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3 756 790,09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1.1.4.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изолированным алюминиевым проводом на железобетонных опорах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до 50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2.3.1.4.1.1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2 087 759,87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50 до 100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2.3.1.4.2.1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2 312 275,51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50 до 100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двухцепные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2.3.1.4.2.2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3 028 951,32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100 до 200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2.3.1.4.3.1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2 189 961,90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200 до 500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2.3.1.4.4.1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1 307 104,80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напряжения СН2 (1-20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  <w:r w:rsidRPr="00BF5FFF">
              <w:rPr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1.2.1.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изолированным алюминиевым проводом на деревянных опорах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до 50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2.1.1.4.1.1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8 944 538,27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1.2.2.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изолированным </w:t>
            </w:r>
            <w:proofErr w:type="spellStart"/>
            <w:r w:rsidRPr="00BF5FFF">
              <w:rPr>
                <w:sz w:val="18"/>
                <w:szCs w:val="18"/>
              </w:rPr>
              <w:t>сталеалюминиевым</w:t>
            </w:r>
            <w:proofErr w:type="spellEnd"/>
            <w:r w:rsidRPr="00BF5FFF">
              <w:rPr>
                <w:sz w:val="18"/>
                <w:szCs w:val="18"/>
              </w:rPr>
              <w:t xml:space="preserve"> проводом на железобетонных опорах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до 50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2.3.1.3.1.1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4 332 945,69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до 50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двухцепные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2.3.1.3.1.2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4001 051,46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50 до 100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2.3.1.3.2.1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2 688 946,47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50 до 100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двухцепные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2.3.1.3.2.2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7 708 596,75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100 до 200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2.3.1.3.3.1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2 269 878,61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100 до 200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двухцепные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2.3.1.3.3.2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9 872 519,05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1.2.3.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изолированным алюминиевым проводом на железобетонных опорах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до 50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2.3.1.4.1.1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3 441 859,69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до 50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двухцепные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2.3.1.4.1.2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5 614 492,27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50 до 100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2.3.1.4.2.1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2 916 304,22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100 до 200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2.3.1.4.3.1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5 207 212,73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1.2.4.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неизолированным </w:t>
            </w:r>
            <w:proofErr w:type="spellStart"/>
            <w:r w:rsidRPr="00BF5FFF">
              <w:rPr>
                <w:sz w:val="18"/>
                <w:szCs w:val="18"/>
              </w:rPr>
              <w:t>сталеалюминиевым</w:t>
            </w:r>
            <w:proofErr w:type="spellEnd"/>
            <w:r w:rsidRPr="00BF5FFF">
              <w:rPr>
                <w:sz w:val="18"/>
                <w:szCs w:val="18"/>
              </w:rPr>
              <w:t xml:space="preserve"> проводом на железобетонных опорах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до 50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2.3.2.3.1.1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2 847 693,98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50 до 100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2.3.2.3.2.1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1 263 122,61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100 до 200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2.3.2.3.3.1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3 641 005,16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напряжения СН1 (27,5-60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  <w:r w:rsidRPr="00BF5FFF">
              <w:rPr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1.3.1.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неизолированным </w:t>
            </w:r>
            <w:proofErr w:type="spellStart"/>
            <w:r w:rsidRPr="00BF5FFF">
              <w:rPr>
                <w:sz w:val="18"/>
                <w:szCs w:val="18"/>
              </w:rPr>
              <w:t>сталеалюминиевым</w:t>
            </w:r>
            <w:proofErr w:type="spellEnd"/>
            <w:r w:rsidRPr="00BF5FFF">
              <w:rPr>
                <w:sz w:val="18"/>
                <w:szCs w:val="18"/>
              </w:rPr>
              <w:t xml:space="preserve"> проводом на железобетонных опорах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50 до 100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2.3.2.3.2.1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32 464 081,00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напряжения ВН (110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  <w:r w:rsidRPr="00BF5FFF">
              <w:rPr>
                <w:sz w:val="18"/>
                <w:szCs w:val="18"/>
              </w:rPr>
              <w:t xml:space="preserve"> и выше)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1.4.1.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неизолированным </w:t>
            </w:r>
            <w:proofErr w:type="spellStart"/>
            <w:r w:rsidRPr="00BF5FFF">
              <w:rPr>
                <w:sz w:val="18"/>
                <w:szCs w:val="18"/>
              </w:rPr>
              <w:t>сталеалюминиевым</w:t>
            </w:r>
            <w:proofErr w:type="spellEnd"/>
            <w:r w:rsidRPr="00BF5FFF">
              <w:rPr>
                <w:sz w:val="18"/>
                <w:szCs w:val="18"/>
              </w:rPr>
              <w:t xml:space="preserve"> проводом на железобетонных опорах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100 до 200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одноцепные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2.3.2.3.3.1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10 669 078,05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100 до 200 квадратных мм включительно </w:t>
            </w:r>
            <w:proofErr w:type="spellStart"/>
            <w:r w:rsidRPr="00BF5FFF">
              <w:rPr>
                <w:sz w:val="18"/>
                <w:szCs w:val="18"/>
              </w:rPr>
              <w:t>двухцепные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2.3.2.3.3.2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86 195 783,45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Стандартизированная тарифная ставка на покрытие расходов сетевой организации на строительство кабельных линий электропередачи в расчете на 1 км линий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напряжения НН (0,4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  <w:r w:rsidRPr="00BF5FFF">
              <w:rPr>
                <w:sz w:val="18"/>
                <w:szCs w:val="18"/>
              </w:rPr>
              <w:t xml:space="preserve"> и ниже)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2.1.1.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в траншеях одножильным кабелем с бумажной изоляцией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до 50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3.1.1.2.1.1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1 370 353,65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3.1.1.2.2.1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3 342 501,73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2.1.2.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в траншеях многожильным кабелем с резиновой и пластмассовой изоляцией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до 50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3 965 728,68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до 50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3.1.2.1.1.2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2 761 673,86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4 382 433,47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3.1.2.1.2.2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7 000 334,61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четырьмя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3.1.2.1.2.4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14 652 273,30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4 675 713,36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4 978 750,20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четырьмя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3.1.2.1.3.4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17 101 840,95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200 до 250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3.1.2.1.4.1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5 496 104,77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200 до 250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3.1.2.1.4.2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3 283 083,67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200 до 250 квадратных мм включительно с четырьмя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3.1.2.1.4.4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15 855 420,74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250 до 300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3.1.2.1.5.2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16 187 370,92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300 до 400 квадратных мм включительно с </w:t>
            </w:r>
            <w:r w:rsidRPr="00BF5FFF">
              <w:rPr>
                <w:sz w:val="18"/>
                <w:szCs w:val="18"/>
              </w:rPr>
              <w:lastRenderedPageBreak/>
              <w:t>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lastRenderedPageBreak/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3.1.2.1.6.2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15 055 713,91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2.1.3.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в траншеях многожильным кабелем с бумажной изоляцией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до 50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4 175 430,18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до 50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3.1.2.2.1.2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2 622 019,91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6 458 620,38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3.1.2.2.2.2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7 938 561,03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8 144 641,46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8 110 505,28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четырьмя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3.1.2.2.3.4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18 300 898,74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200 до 250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3.1.2.2.4.2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15 516 290,74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2.1.4.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выполненные горизонтальным наклонным бурением многожильным кабелем с резиновой и пластмассовой изоляцией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до 50 квадратных мм включительно с одной трубой в скважине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3.6.2.1.1.1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9 835 907,90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одной трубой в скважине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3.6.2.1.2.1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6 450 877,39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одной трубой в скважине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3.6.2.1.3.1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7 651 292,90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двумя трубами в скважине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3.6.2.1.3.2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11 481 302,31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2.1.5.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выполненные горизонтальным наклонным бурением многожильным кабелем с бумажной изоляцией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одной трубой в скважине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3.6.2.2.2.1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6 715 285,72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одной трубой в скважине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3.6.2.2.3.1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6 050 121,70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двумя трубами в скважине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3.6.2.2.3.2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9 423 117,08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напряжения СН2 (1-10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  <w:r w:rsidRPr="00BF5FFF">
              <w:rPr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2.2.1.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в траншеях одножильным кабелем с резиновой и пластмассовой изоляцией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200 до 250 квадратных мм включительно с тремя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3.1.1.1.4.3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11 208 984,52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250 до 300 квадратных мм включительно с более чем четырьмя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3.1.1.1.5.5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21 849 048,71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2.2.2.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в траншеях многожильным кабелем с резиновой и пластмассовой изоляцией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до 50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6 380 407,99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5 572 600,37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3 313 902,55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тремя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3.1.2.1.3.3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6 562 289,71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400 до 500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3.1.2.1.7.1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6 150 693,08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2.2.3.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в траншеях многожильным кабелем с бумажной изоляцией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до 50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3 897 963,77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до 50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3.1.2.2.1.2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2 666 028,30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2 625 214,44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3.1.2.2.2.2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3 991 633,70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4 171 455,99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3 960 897,46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четырьмя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3.1.2.2.3.4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4 236 024,36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сечением провода от 200 до 250 квадратных мм включительно с </w:t>
            </w:r>
            <w:r w:rsidRPr="00BF5FFF">
              <w:rPr>
                <w:sz w:val="18"/>
                <w:szCs w:val="18"/>
              </w:rPr>
              <w:lastRenderedPageBreak/>
              <w:t>одним кабелем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lastRenderedPageBreak/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3.1.2.2.4.1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3 771 962,77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200 до 250 квадратных мм включительно с двумя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3.1.2.2.4.2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4 282 700,95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200 до 250 квадратных мм включительно с четырьмя кабелями в траншее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3.1.2.2.4.4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3 049 958,35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2.2.4.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выполненные горизонтальным наклонным бурением многожильным кабелем с резиновой и пластмассовой изоляцией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50 до 100 квадратных мм включительно с одной трубой в скважине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3.6.2.1.2.1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8 055 623,92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одной трубой в скважине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3.6.2.1.3.1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12 218 670,78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2.2.5.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выполненные горизонтальным наклонным бурением многожильным кабелем с бумажной изоляцией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одной трубой в скважине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3.6.2.2.3.1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6 393 481,84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 сечением провода от 100 до 200 квадратных мм включительно с двумя трубами в скважине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3.6.2.2.3.2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10 972 348,34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Стандартизированная тарифная ставка на покрытие расходов сетевой организации на строительство пунктов секционирования (</w:t>
            </w:r>
            <w:proofErr w:type="spellStart"/>
            <w:r w:rsidRPr="00BF5FFF">
              <w:rPr>
                <w:sz w:val="18"/>
                <w:szCs w:val="18"/>
              </w:rPr>
              <w:t>реклоузеров</w:t>
            </w:r>
            <w:proofErr w:type="spellEnd"/>
            <w:r w:rsidRPr="00BF5FFF">
              <w:rPr>
                <w:sz w:val="18"/>
                <w:szCs w:val="18"/>
              </w:rPr>
              <w:t>, распределительных пунктов, переключательных пунктов)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С4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руб./шт.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напряжения НН (0,4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  <w:r w:rsidRPr="00BF5FFF">
              <w:rPr>
                <w:sz w:val="18"/>
                <w:szCs w:val="18"/>
              </w:rPr>
              <w:t xml:space="preserve"> и ниже)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3.1.1.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Распределительные пункты (РП), за исключением комплектных распределительных устройств наружной установки (КРН, КРУН)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номинальным током от 250 до 500 </w:t>
            </w:r>
            <w:proofErr w:type="gramStart"/>
            <w:r w:rsidRPr="00BF5FFF">
              <w:rPr>
                <w:sz w:val="18"/>
                <w:szCs w:val="18"/>
              </w:rPr>
              <w:t>А</w:t>
            </w:r>
            <w:proofErr w:type="gramEnd"/>
            <w:r w:rsidRPr="00BF5FFF">
              <w:rPr>
                <w:sz w:val="18"/>
                <w:szCs w:val="18"/>
              </w:rPr>
              <w:t xml:space="preserve"> включительно с количеством ячеек от 5 до 10 ячеек включительно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4.4.3.2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123 037,25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напряжения СН2 (1-20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  <w:r w:rsidRPr="00BF5FFF">
              <w:rPr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3.2.1.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proofErr w:type="spellStart"/>
            <w:r w:rsidRPr="00BF5FFF">
              <w:rPr>
                <w:sz w:val="18"/>
                <w:szCs w:val="18"/>
              </w:rPr>
              <w:t>Реклоузеры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номинальным током до 100 </w:t>
            </w:r>
            <w:proofErr w:type="gramStart"/>
            <w:r w:rsidRPr="00BF5FFF">
              <w:rPr>
                <w:sz w:val="18"/>
                <w:szCs w:val="18"/>
              </w:rPr>
              <w:t>А</w:t>
            </w:r>
            <w:proofErr w:type="gramEnd"/>
            <w:r w:rsidRPr="00BF5FFF">
              <w:rPr>
                <w:sz w:val="18"/>
                <w:szCs w:val="18"/>
              </w:rPr>
              <w:t xml:space="preserve"> включительно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С4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2 316 256,78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номинальным током от 250 до 500 </w:t>
            </w:r>
            <w:proofErr w:type="gramStart"/>
            <w:r w:rsidRPr="00BF5FFF">
              <w:rPr>
                <w:sz w:val="18"/>
                <w:szCs w:val="18"/>
              </w:rPr>
              <w:t>А</w:t>
            </w:r>
            <w:proofErr w:type="gramEnd"/>
            <w:r w:rsidRPr="00BF5FFF">
              <w:rPr>
                <w:sz w:val="18"/>
                <w:szCs w:val="18"/>
              </w:rPr>
              <w:t xml:space="preserve"> включительно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4.1.3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2 293 318,21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номинальным током от 500 </w:t>
            </w:r>
            <w:proofErr w:type="gramStart"/>
            <w:r w:rsidRPr="00BF5FFF">
              <w:rPr>
                <w:sz w:val="18"/>
                <w:szCs w:val="18"/>
              </w:rPr>
              <w:t>А</w:t>
            </w:r>
            <w:proofErr w:type="gramEnd"/>
            <w:r w:rsidRPr="00BF5FFF">
              <w:rPr>
                <w:sz w:val="18"/>
                <w:szCs w:val="18"/>
              </w:rPr>
              <w:t xml:space="preserve"> до 1 000 А включительно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4.14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2 716 315,35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3.2.2.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Линейные разъединители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номинальным током от 250 до 500 </w:t>
            </w:r>
            <w:proofErr w:type="gramStart"/>
            <w:r w:rsidRPr="00BF5FFF">
              <w:rPr>
                <w:sz w:val="18"/>
                <w:szCs w:val="18"/>
              </w:rPr>
              <w:t>А</w:t>
            </w:r>
            <w:proofErr w:type="gramEnd"/>
            <w:r w:rsidRPr="00BF5FFF">
              <w:rPr>
                <w:sz w:val="18"/>
                <w:szCs w:val="18"/>
              </w:rPr>
              <w:t xml:space="preserve"> включительно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31 567,89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3.2.3.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Комплектные распределительные устройства наружной установки (КРН, КРУН)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номинальным током до 100 </w:t>
            </w:r>
            <w:proofErr w:type="gramStart"/>
            <w:r w:rsidRPr="00BF5FFF">
              <w:rPr>
                <w:sz w:val="18"/>
                <w:szCs w:val="18"/>
              </w:rPr>
              <w:t>А</w:t>
            </w:r>
            <w:proofErr w:type="gramEnd"/>
            <w:r w:rsidRPr="00BF5FFF">
              <w:rPr>
                <w:sz w:val="18"/>
                <w:szCs w:val="18"/>
              </w:rPr>
              <w:t xml:space="preserve"> включительно с количеством ячеек до 5 ячеек включительно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4.5.1.1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945 414,80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номинальным током от 500 </w:t>
            </w:r>
            <w:proofErr w:type="gramStart"/>
            <w:r w:rsidRPr="00BF5FFF">
              <w:rPr>
                <w:sz w:val="18"/>
                <w:szCs w:val="18"/>
              </w:rPr>
              <w:t>А</w:t>
            </w:r>
            <w:proofErr w:type="gramEnd"/>
            <w:r w:rsidRPr="00BF5FFF">
              <w:rPr>
                <w:sz w:val="18"/>
                <w:szCs w:val="18"/>
              </w:rPr>
              <w:t xml:space="preserve"> до 1 000 А включительно с количеством ячеек до 5 ячеек включительно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4.5.4.1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1 860 407,53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номинальным током свыше 1 000 </w:t>
            </w:r>
            <w:proofErr w:type="gramStart"/>
            <w:r w:rsidRPr="00BF5FFF">
              <w:rPr>
                <w:sz w:val="18"/>
                <w:szCs w:val="18"/>
              </w:rPr>
              <w:t>А</w:t>
            </w:r>
            <w:proofErr w:type="gramEnd"/>
            <w:r w:rsidRPr="00BF5FFF">
              <w:rPr>
                <w:sz w:val="18"/>
                <w:szCs w:val="18"/>
              </w:rPr>
              <w:t xml:space="preserve"> с количеством ячеек до 5 ячеек включительно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4.5.5.1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601 216,43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3.3.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напряжения СН1 (35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  <w:r w:rsidRPr="00BF5FFF">
              <w:rPr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3.3.1.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proofErr w:type="spellStart"/>
            <w:r w:rsidRPr="00BF5FFF">
              <w:rPr>
                <w:sz w:val="18"/>
                <w:szCs w:val="18"/>
              </w:rPr>
              <w:t>Реклоузеры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номинальным током свыше 1 000 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4.1.5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6 063 144,03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Стандартизированная тарифная ставка на покрытие расходов сетевой организации на строительство трансформаторных подстанций (ТП), за исключением распределительных трансформаторных подстанций (РТП), с уровнем напряжения до 35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С5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руб./кВт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6/0,4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4.1.1.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proofErr w:type="spellStart"/>
            <w:r w:rsidRPr="00BF5FFF">
              <w:rPr>
                <w:sz w:val="18"/>
                <w:szCs w:val="18"/>
              </w:rPr>
              <w:t>однотрансформаторные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до 25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столбового/мачтового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58 433,05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до 25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5.1.1.2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44 883,97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25 до 100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столбового/мачтового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21 835,93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25 до 100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5.1.2.2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41 572,37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100 до 250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11 379,55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100 до 250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блочного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5.1.3.3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3 817,42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250 до 400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5.1.4.2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10 394,09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400 до 630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5.1.5.2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1 847,61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4.1.2.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proofErr w:type="spellStart"/>
            <w:r w:rsidRPr="00BF5FFF">
              <w:rPr>
                <w:sz w:val="18"/>
                <w:szCs w:val="18"/>
              </w:rPr>
              <w:t>двухтрансформаторные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100 до 250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30 751,27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250 до 400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</w:t>
            </w:r>
            <w:r w:rsidRPr="00BF5FFF">
              <w:rPr>
                <w:sz w:val="18"/>
                <w:szCs w:val="18"/>
              </w:rPr>
              <w:lastRenderedPageBreak/>
              <w:t>блочного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lastRenderedPageBreak/>
              <w:t>С</w:t>
            </w:r>
            <w:r w:rsidRPr="00BF5FFF">
              <w:rPr>
                <w:sz w:val="18"/>
                <w:szCs w:val="18"/>
                <w:vertAlign w:val="subscript"/>
              </w:rPr>
              <w:t> 5.2.4.3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14 818,34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400 до 630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5.2.5.2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12 754,40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400 до 630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блочного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5.2.5.3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15 263,91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630 до 1000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5.2.6.2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6 858,87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630 до 1000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блочного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5.2.6.3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4 802,89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10/0,4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4.2.1.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proofErr w:type="spellStart"/>
            <w:r w:rsidRPr="00BF5FFF">
              <w:rPr>
                <w:sz w:val="18"/>
                <w:szCs w:val="18"/>
              </w:rPr>
              <w:t>однотрансформаторные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до 25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столбового/мачтового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62 949,70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до 25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5.1.1.2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79 203,78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25 до 100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столбового/мачтового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30 985,98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25 до 100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5.1.2.2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36 971,97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100 до 250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столбового/мачтового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5.1.3.1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38 728,38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100 до 250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13 147,14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250 до 400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5.1.4.2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9 136,10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400 до 630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5.1.5.2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5 757,05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4.2.2.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proofErr w:type="spellStart"/>
            <w:r w:rsidRPr="00BF5FFF">
              <w:rPr>
                <w:sz w:val="18"/>
                <w:szCs w:val="18"/>
              </w:rPr>
              <w:t>двухтрансформаторные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100 до 250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10 075,53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100 до 250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блочного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5.2.3.3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17 344,61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250 до 400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5.2.4.2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14 803,08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250 до 400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блочного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5.2.4.3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6 080,19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400 до 630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5.2.5.2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12 201,21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400 до 630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блочного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5.2.5.3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10 122,63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630 до 1000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5.2.6.2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19 778,88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630 до 1000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блочного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5.2.6.3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5 891,96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1250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до 1600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5.2.8.2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5 666,79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1250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до 1600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блочного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5.2.8.3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4 222,85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1600 до 2000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шкафного или </w:t>
            </w:r>
            <w:proofErr w:type="spellStart"/>
            <w:r w:rsidRPr="00BF5FFF">
              <w:rPr>
                <w:sz w:val="18"/>
                <w:szCs w:val="18"/>
              </w:rPr>
              <w:t>киоскового</w:t>
            </w:r>
            <w:proofErr w:type="spellEnd"/>
            <w:r w:rsidRPr="00BF5FFF">
              <w:rPr>
                <w:sz w:val="18"/>
                <w:szCs w:val="18"/>
              </w:rPr>
              <w:t xml:space="preserve">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5.2.9.2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8 884,50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5.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Стандартизированная тарифная ставка на покрытие расходов сетевой организации на строительство распределительных трансформаторных подстанций (РТП) с уровнем напряжения до 35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С6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руб./кВт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5.1.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proofErr w:type="spellStart"/>
            <w:r w:rsidRPr="00BF5FFF">
              <w:rPr>
                <w:sz w:val="18"/>
                <w:szCs w:val="18"/>
              </w:rPr>
              <w:t>двухтрансформаторные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С6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100 до 250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закрытого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6.2.3.2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42 228,70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250 до 400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закрытого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6.2.4.2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30 537,58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400 до 630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закрытого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6.2.5.2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25 162,97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630 до 1000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закрытого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6.2.6.2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18 825,32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 трансформаторной мощностью от 1000 до 1250 </w:t>
            </w:r>
            <w:proofErr w:type="spellStart"/>
            <w:r w:rsidRPr="00BF5FFF">
              <w:rPr>
                <w:sz w:val="18"/>
                <w:szCs w:val="18"/>
              </w:rPr>
              <w:t>кВА</w:t>
            </w:r>
            <w:proofErr w:type="spellEnd"/>
            <w:r w:rsidRPr="00BF5FFF">
              <w:rPr>
                <w:sz w:val="18"/>
                <w:szCs w:val="18"/>
              </w:rPr>
              <w:t xml:space="preserve"> включительно закрытого типа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6.2.7.2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7 859,25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Стандартизированная тарифная ставка на покрытие расходов сетевой организации на обеспечение средствами коммерческого учета электрической энергии (мощности)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С8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рублей за точку учета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6.1.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напряжения НН (0,4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  <w:r w:rsidRPr="00BF5FFF">
              <w:rPr>
                <w:sz w:val="18"/>
                <w:szCs w:val="18"/>
              </w:rPr>
              <w:t xml:space="preserve"> и ниже)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средства коммерческого учета электрической энергии (мощности) однофазные прямого включения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8.1.1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23 298,32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8.2.1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36 710,69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средства коммерческого учета электрической энергии (мощности) трехфазные </w:t>
            </w:r>
            <w:proofErr w:type="spellStart"/>
            <w:r w:rsidRPr="00BF5FFF">
              <w:rPr>
                <w:sz w:val="18"/>
                <w:szCs w:val="18"/>
              </w:rPr>
              <w:t>полукосвенного</w:t>
            </w:r>
            <w:proofErr w:type="spellEnd"/>
            <w:r w:rsidRPr="00BF5FFF">
              <w:rPr>
                <w:sz w:val="18"/>
                <w:szCs w:val="18"/>
              </w:rPr>
              <w:t xml:space="preserve"> включения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8.2.2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59 358,21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6.2.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На уровне напряжения СН2 (20-1кВ)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средства коммерческого учета электрической энергии (мощности) трехфазные прямого включения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8.2.1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485 374,73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8.2.3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457 830,82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6.3.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 xml:space="preserve">На уровне напряжения СН1 (35 </w:t>
            </w:r>
            <w:proofErr w:type="spellStart"/>
            <w:r w:rsidRPr="00BF5FFF">
              <w:rPr>
                <w:sz w:val="18"/>
                <w:szCs w:val="18"/>
              </w:rPr>
              <w:t>кВ</w:t>
            </w:r>
            <w:proofErr w:type="spellEnd"/>
            <w:r w:rsidRPr="00BF5FFF">
              <w:rPr>
                <w:sz w:val="18"/>
                <w:szCs w:val="18"/>
              </w:rPr>
              <w:t>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х</w:t>
            </w:r>
          </w:p>
        </w:tc>
      </w:tr>
      <w:tr w:rsidR="00BF5FFF" w:rsidRPr="00BF5FFF" w:rsidTr="00BF5FFF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2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средства коммерческого учета электрической энергии (мощности) трехфазные косвенного включения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С</w:t>
            </w:r>
            <w:r w:rsidRPr="00BF5FFF">
              <w:rPr>
                <w:sz w:val="18"/>
                <w:szCs w:val="18"/>
                <w:vertAlign w:val="subscript"/>
              </w:rPr>
              <w:t> 8.2.3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FFF" w:rsidRPr="00BF5FFF" w:rsidRDefault="00BF5FFF" w:rsidP="00101F0A">
            <w:pPr>
              <w:pStyle w:val="af3"/>
              <w:rPr>
                <w:sz w:val="18"/>
                <w:szCs w:val="18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5FFF" w:rsidRPr="00BF5FFF" w:rsidRDefault="00BF5FFF" w:rsidP="00101F0A">
            <w:pPr>
              <w:pStyle w:val="af3"/>
              <w:jc w:val="center"/>
              <w:rPr>
                <w:sz w:val="18"/>
                <w:szCs w:val="18"/>
              </w:rPr>
            </w:pPr>
            <w:r w:rsidRPr="00BF5FFF">
              <w:rPr>
                <w:sz w:val="18"/>
                <w:szCs w:val="18"/>
              </w:rPr>
              <w:t>1 887 348,35</w:t>
            </w:r>
          </w:p>
        </w:tc>
      </w:tr>
    </w:tbl>
    <w:p w:rsidR="00516F80" w:rsidRDefault="00516F80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516F80" w:rsidRDefault="00201B5A">
      <w:pPr>
        <w:pStyle w:val="1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Формулы определения платы за </w:t>
      </w:r>
      <w:r>
        <w:rPr>
          <w:rFonts w:ascii="Times New Roman" w:hAnsi="Times New Roman" w:cs="Times New Roman"/>
        </w:rPr>
        <w:t>технологическое присоединение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а) Если отсутствует необходимость реализации мероприятий "последней мили":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C 1+C8 q = ПТП i (без "последней мили") (руб.) (без НДС)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б) Если предусматриваются мероприятия "последней мили" по прокладке воздушных и (или) кабельных линий: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C 1+С 2ij L i(</w:t>
      </w:r>
      <w:proofErr w:type="spellStart"/>
      <w:r w:rsidRPr="00BF5FFF">
        <w:rPr>
          <w:rFonts w:ascii="Times New Roman" w:hAnsi="Times New Roman"/>
          <w:sz w:val="20"/>
        </w:rPr>
        <w:t>вл</w:t>
      </w:r>
      <w:proofErr w:type="spellEnd"/>
      <w:r w:rsidRPr="00BF5FFF">
        <w:rPr>
          <w:rFonts w:ascii="Times New Roman" w:hAnsi="Times New Roman"/>
          <w:sz w:val="20"/>
        </w:rPr>
        <w:t>)+С 3ij L i(</w:t>
      </w:r>
      <w:proofErr w:type="spellStart"/>
      <w:r w:rsidRPr="00BF5FFF">
        <w:rPr>
          <w:rFonts w:ascii="Times New Roman" w:hAnsi="Times New Roman"/>
          <w:sz w:val="20"/>
        </w:rPr>
        <w:t>кл</w:t>
      </w:r>
      <w:proofErr w:type="spellEnd"/>
      <w:r w:rsidRPr="00BF5FFF">
        <w:rPr>
          <w:rFonts w:ascii="Times New Roman" w:hAnsi="Times New Roman"/>
          <w:sz w:val="20"/>
        </w:rPr>
        <w:t xml:space="preserve">)+С8 q = ПТП </w:t>
      </w:r>
      <w:proofErr w:type="gramStart"/>
      <w:r w:rsidRPr="00BF5FFF">
        <w:rPr>
          <w:rFonts w:ascii="Times New Roman" w:hAnsi="Times New Roman"/>
          <w:sz w:val="20"/>
        </w:rPr>
        <w:t>i(</w:t>
      </w:r>
      <w:proofErr w:type="spellStart"/>
      <w:proofErr w:type="gramEnd"/>
      <w:r w:rsidRPr="00BF5FFF">
        <w:rPr>
          <w:rFonts w:ascii="Times New Roman" w:hAnsi="Times New Roman"/>
          <w:sz w:val="20"/>
        </w:rPr>
        <w:t>вл</w:t>
      </w:r>
      <w:proofErr w:type="spellEnd"/>
      <w:r w:rsidRPr="00BF5FFF">
        <w:rPr>
          <w:rFonts w:ascii="Times New Roman" w:hAnsi="Times New Roman"/>
          <w:sz w:val="20"/>
        </w:rPr>
        <w:t xml:space="preserve"> (</w:t>
      </w:r>
      <w:proofErr w:type="spellStart"/>
      <w:r w:rsidRPr="00BF5FFF">
        <w:rPr>
          <w:rFonts w:ascii="Times New Roman" w:hAnsi="Times New Roman"/>
          <w:sz w:val="20"/>
        </w:rPr>
        <w:t>кл</w:t>
      </w:r>
      <w:proofErr w:type="spellEnd"/>
      <w:r w:rsidRPr="00BF5FFF">
        <w:rPr>
          <w:rFonts w:ascii="Times New Roman" w:hAnsi="Times New Roman"/>
          <w:sz w:val="20"/>
        </w:rPr>
        <w:t>)) (руб.) (без НДС)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 xml:space="preserve">в) Если предусматриваются мероприятия "последней мили" по строительству пунктов секционирования, трансформаторных подстанций, распределительных трансформаторных подстанций с уровнем напряжения до 35 </w:t>
      </w:r>
      <w:proofErr w:type="spellStart"/>
      <w:r w:rsidRPr="00BF5FFF">
        <w:rPr>
          <w:rFonts w:ascii="Times New Roman" w:hAnsi="Times New Roman"/>
          <w:sz w:val="20"/>
        </w:rPr>
        <w:t>кВ</w:t>
      </w:r>
      <w:proofErr w:type="spellEnd"/>
      <w:r w:rsidRPr="00BF5FFF">
        <w:rPr>
          <w:rFonts w:ascii="Times New Roman" w:hAnsi="Times New Roman"/>
          <w:sz w:val="20"/>
        </w:rPr>
        <w:t xml:space="preserve"> и центров питания, подстанций уровнем напряжения 35 </w:t>
      </w:r>
      <w:proofErr w:type="spellStart"/>
      <w:r w:rsidRPr="00BF5FFF">
        <w:rPr>
          <w:rFonts w:ascii="Times New Roman" w:hAnsi="Times New Roman"/>
          <w:sz w:val="20"/>
        </w:rPr>
        <w:t>кВ</w:t>
      </w:r>
      <w:proofErr w:type="spellEnd"/>
      <w:r w:rsidRPr="00BF5FFF">
        <w:rPr>
          <w:rFonts w:ascii="Times New Roman" w:hAnsi="Times New Roman"/>
          <w:sz w:val="20"/>
        </w:rPr>
        <w:t xml:space="preserve"> и выше (ПС):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  <w:lang w:val="en-US"/>
        </w:rPr>
        <w:t xml:space="preserve">C 1+C 2ij L </w:t>
      </w:r>
      <w:proofErr w:type="spellStart"/>
      <w:r w:rsidRPr="00BF5FFF">
        <w:rPr>
          <w:rFonts w:ascii="Times New Roman" w:hAnsi="Times New Roman"/>
          <w:sz w:val="20"/>
          <w:lang w:val="en-US"/>
        </w:rPr>
        <w:t>i</w:t>
      </w:r>
      <w:proofErr w:type="spellEnd"/>
      <w:r w:rsidRPr="00BF5FFF">
        <w:rPr>
          <w:rFonts w:ascii="Times New Roman" w:hAnsi="Times New Roman"/>
          <w:sz w:val="20"/>
          <w:lang w:val="en-US"/>
        </w:rPr>
        <w:t>(</w:t>
      </w:r>
      <w:proofErr w:type="spellStart"/>
      <w:r w:rsidRPr="00BF5FFF">
        <w:rPr>
          <w:rFonts w:ascii="Times New Roman" w:hAnsi="Times New Roman"/>
          <w:sz w:val="20"/>
        </w:rPr>
        <w:t>вл</w:t>
      </w:r>
      <w:proofErr w:type="spellEnd"/>
      <w:r w:rsidRPr="00BF5FFF">
        <w:rPr>
          <w:rFonts w:ascii="Times New Roman" w:hAnsi="Times New Roman"/>
          <w:sz w:val="20"/>
          <w:lang w:val="en-US"/>
        </w:rPr>
        <w:t xml:space="preserve">)+C 3ij L </w:t>
      </w:r>
      <w:proofErr w:type="spellStart"/>
      <w:r w:rsidRPr="00BF5FFF">
        <w:rPr>
          <w:rFonts w:ascii="Times New Roman" w:hAnsi="Times New Roman"/>
          <w:sz w:val="20"/>
          <w:lang w:val="en-US"/>
        </w:rPr>
        <w:t>i</w:t>
      </w:r>
      <w:proofErr w:type="spellEnd"/>
      <w:r w:rsidRPr="00BF5FFF">
        <w:rPr>
          <w:rFonts w:ascii="Times New Roman" w:hAnsi="Times New Roman"/>
          <w:sz w:val="20"/>
          <w:lang w:val="en-US"/>
        </w:rPr>
        <w:t>(</w:t>
      </w:r>
      <w:proofErr w:type="spellStart"/>
      <w:r w:rsidRPr="00BF5FFF">
        <w:rPr>
          <w:rFonts w:ascii="Times New Roman" w:hAnsi="Times New Roman"/>
          <w:sz w:val="20"/>
        </w:rPr>
        <w:t>кл</w:t>
      </w:r>
      <w:proofErr w:type="spellEnd"/>
      <w:r w:rsidRPr="00BF5FFF">
        <w:rPr>
          <w:rFonts w:ascii="Times New Roman" w:hAnsi="Times New Roman"/>
          <w:sz w:val="20"/>
          <w:lang w:val="en-US"/>
        </w:rPr>
        <w:t xml:space="preserve">)+C 4ij T+C 5ij N </w:t>
      </w:r>
      <w:proofErr w:type="spellStart"/>
      <w:r w:rsidRPr="00BF5FFF">
        <w:rPr>
          <w:rFonts w:ascii="Times New Roman" w:hAnsi="Times New Roman"/>
          <w:sz w:val="20"/>
          <w:lang w:val="en-US"/>
        </w:rPr>
        <w:t>i+C</w:t>
      </w:r>
      <w:proofErr w:type="spellEnd"/>
      <w:r w:rsidRPr="00BF5FFF">
        <w:rPr>
          <w:rFonts w:ascii="Times New Roman" w:hAnsi="Times New Roman"/>
          <w:sz w:val="20"/>
          <w:lang w:val="en-US"/>
        </w:rPr>
        <w:t xml:space="preserve"> 6ij N </w:t>
      </w:r>
      <w:proofErr w:type="spellStart"/>
      <w:r w:rsidRPr="00BF5FFF">
        <w:rPr>
          <w:rFonts w:ascii="Times New Roman" w:hAnsi="Times New Roman"/>
          <w:sz w:val="20"/>
          <w:lang w:val="en-US"/>
        </w:rPr>
        <w:t>i+C</w:t>
      </w:r>
      <w:proofErr w:type="spellEnd"/>
      <w:r w:rsidRPr="00BF5FFF">
        <w:rPr>
          <w:rFonts w:ascii="Times New Roman" w:hAnsi="Times New Roman"/>
          <w:sz w:val="20"/>
          <w:lang w:val="en-US"/>
        </w:rPr>
        <w:t xml:space="preserve"> 7ij N </w:t>
      </w:r>
      <w:proofErr w:type="spellStart"/>
      <w:r w:rsidRPr="00BF5FFF">
        <w:rPr>
          <w:rFonts w:ascii="Times New Roman" w:hAnsi="Times New Roman"/>
          <w:sz w:val="20"/>
          <w:lang w:val="en-US"/>
        </w:rPr>
        <w:t>i</w:t>
      </w:r>
      <w:proofErr w:type="spellEnd"/>
      <w:r w:rsidRPr="00BF5FFF">
        <w:rPr>
          <w:rFonts w:ascii="Times New Roman" w:hAnsi="Times New Roman"/>
          <w:sz w:val="20"/>
          <w:lang w:val="en-US"/>
        </w:rPr>
        <w:t>+</w:t>
      </w:r>
      <w:r w:rsidRPr="00BF5FFF">
        <w:rPr>
          <w:rFonts w:ascii="Times New Roman" w:hAnsi="Times New Roman"/>
          <w:sz w:val="20"/>
        </w:rPr>
        <w:t>С</w:t>
      </w:r>
      <w:r w:rsidRPr="00BF5FFF">
        <w:rPr>
          <w:rFonts w:ascii="Times New Roman" w:hAnsi="Times New Roman"/>
          <w:sz w:val="20"/>
          <w:lang w:val="en-US"/>
        </w:rPr>
        <w:t xml:space="preserve">8 q = </w:t>
      </w:r>
      <w:r w:rsidRPr="00BF5FFF">
        <w:rPr>
          <w:rFonts w:ascii="Times New Roman" w:hAnsi="Times New Roman"/>
          <w:sz w:val="20"/>
        </w:rPr>
        <w:t>ПТП</w:t>
      </w:r>
      <w:r w:rsidRPr="00BF5FFF">
        <w:rPr>
          <w:rFonts w:ascii="Times New Roman" w:hAnsi="Times New Roman"/>
          <w:sz w:val="20"/>
          <w:lang w:val="en-US"/>
        </w:rPr>
        <w:t xml:space="preserve"> </w:t>
      </w:r>
      <w:proofErr w:type="spellStart"/>
      <w:r w:rsidRPr="00BF5FFF">
        <w:rPr>
          <w:rFonts w:ascii="Times New Roman" w:hAnsi="Times New Roman"/>
          <w:sz w:val="20"/>
          <w:lang w:val="en-US"/>
        </w:rPr>
        <w:t>i</w:t>
      </w:r>
      <w:proofErr w:type="spellEnd"/>
      <w:r w:rsidRPr="00BF5FFF">
        <w:rPr>
          <w:rFonts w:ascii="Times New Roman" w:hAnsi="Times New Roman"/>
          <w:sz w:val="20"/>
          <w:lang w:val="en-US"/>
        </w:rPr>
        <w:t>(</w:t>
      </w:r>
      <w:proofErr w:type="spellStart"/>
      <w:r w:rsidRPr="00BF5FFF">
        <w:rPr>
          <w:rFonts w:ascii="Times New Roman" w:hAnsi="Times New Roman"/>
          <w:sz w:val="20"/>
        </w:rPr>
        <w:t>вл</w:t>
      </w:r>
      <w:proofErr w:type="spellEnd"/>
      <w:r w:rsidRPr="00BF5FFF">
        <w:rPr>
          <w:rFonts w:ascii="Times New Roman" w:hAnsi="Times New Roman"/>
          <w:sz w:val="20"/>
          <w:lang w:val="en-US"/>
        </w:rPr>
        <w:t xml:space="preserve"> (</w:t>
      </w:r>
      <w:proofErr w:type="spellStart"/>
      <w:r w:rsidRPr="00BF5FFF">
        <w:rPr>
          <w:rFonts w:ascii="Times New Roman" w:hAnsi="Times New Roman"/>
          <w:sz w:val="20"/>
        </w:rPr>
        <w:t>кл</w:t>
      </w:r>
      <w:proofErr w:type="spellEnd"/>
      <w:r w:rsidRPr="00BF5FFF">
        <w:rPr>
          <w:rFonts w:ascii="Times New Roman" w:hAnsi="Times New Roman"/>
          <w:sz w:val="20"/>
          <w:lang w:val="en-US"/>
        </w:rPr>
        <w:t>)+</w:t>
      </w:r>
      <w:proofErr w:type="spellStart"/>
      <w:r w:rsidRPr="00BF5FFF">
        <w:rPr>
          <w:rFonts w:ascii="Times New Roman" w:hAnsi="Times New Roman"/>
          <w:sz w:val="20"/>
        </w:rPr>
        <w:t>тп</w:t>
      </w:r>
      <w:proofErr w:type="spellEnd"/>
      <w:r w:rsidRPr="00BF5FFF">
        <w:rPr>
          <w:rFonts w:ascii="Times New Roman" w:hAnsi="Times New Roman"/>
          <w:sz w:val="20"/>
          <w:lang w:val="en-US"/>
        </w:rPr>
        <w:t>) (</w:t>
      </w:r>
      <w:proofErr w:type="spellStart"/>
      <w:r w:rsidRPr="00BF5FFF">
        <w:rPr>
          <w:rFonts w:ascii="Times New Roman" w:hAnsi="Times New Roman"/>
          <w:sz w:val="20"/>
        </w:rPr>
        <w:t>руб</w:t>
      </w:r>
      <w:proofErr w:type="spellEnd"/>
      <w:r w:rsidRPr="00BF5FFF">
        <w:rPr>
          <w:rFonts w:ascii="Times New Roman" w:hAnsi="Times New Roman"/>
          <w:sz w:val="20"/>
          <w:lang w:val="en-US"/>
        </w:rPr>
        <w:t xml:space="preserve">.) </w:t>
      </w:r>
      <w:r w:rsidRPr="00BF5FFF">
        <w:rPr>
          <w:rFonts w:ascii="Times New Roman" w:hAnsi="Times New Roman"/>
          <w:sz w:val="20"/>
        </w:rPr>
        <w:t>(без НДС)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г) Если при технологическом присоединении согласно техническим условиям срок выполнения мероприятий по технологическому присоединению предусмотрен период два года: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С 1</w:t>
      </w:r>
      <w:proofErr w:type="gramStart"/>
      <w:r w:rsidRPr="00BF5FFF">
        <w:rPr>
          <w:rFonts w:ascii="Times New Roman" w:hAnsi="Times New Roman"/>
          <w:sz w:val="20"/>
        </w:rPr>
        <w:t>+(</w:t>
      </w:r>
      <w:proofErr w:type="gramEnd"/>
      <w:r w:rsidRPr="00BF5FFF">
        <w:rPr>
          <w:rFonts w:ascii="Times New Roman" w:hAnsi="Times New Roman"/>
          <w:sz w:val="20"/>
        </w:rPr>
        <w:t>0,5 (С 2ij L i(</w:t>
      </w:r>
      <w:proofErr w:type="spellStart"/>
      <w:r w:rsidRPr="00BF5FFF">
        <w:rPr>
          <w:rFonts w:ascii="Times New Roman" w:hAnsi="Times New Roman"/>
          <w:sz w:val="20"/>
        </w:rPr>
        <w:t>вл</w:t>
      </w:r>
      <w:proofErr w:type="spellEnd"/>
      <w:r w:rsidRPr="00BF5FFF">
        <w:rPr>
          <w:rFonts w:ascii="Times New Roman" w:hAnsi="Times New Roman"/>
          <w:sz w:val="20"/>
        </w:rPr>
        <w:t>)+С 3ij L i(</w:t>
      </w:r>
      <w:proofErr w:type="spellStart"/>
      <w:r w:rsidRPr="00BF5FFF">
        <w:rPr>
          <w:rFonts w:ascii="Times New Roman" w:hAnsi="Times New Roman"/>
          <w:sz w:val="20"/>
        </w:rPr>
        <w:t>кл</w:t>
      </w:r>
      <w:proofErr w:type="spellEnd"/>
      <w:r w:rsidRPr="00BF5FFF">
        <w:rPr>
          <w:rFonts w:ascii="Times New Roman" w:hAnsi="Times New Roman"/>
          <w:sz w:val="20"/>
        </w:rPr>
        <w:t xml:space="preserve">)+C 4ij T+C 5ij N </w:t>
      </w:r>
      <w:proofErr w:type="spellStart"/>
      <w:r w:rsidRPr="00BF5FFF">
        <w:rPr>
          <w:rFonts w:ascii="Times New Roman" w:hAnsi="Times New Roman"/>
          <w:sz w:val="20"/>
        </w:rPr>
        <w:t>i+C</w:t>
      </w:r>
      <w:proofErr w:type="spellEnd"/>
      <w:r w:rsidRPr="00BF5FFF">
        <w:rPr>
          <w:rFonts w:ascii="Times New Roman" w:hAnsi="Times New Roman"/>
          <w:sz w:val="20"/>
        </w:rPr>
        <w:t xml:space="preserve"> 6ij N </w:t>
      </w:r>
      <w:proofErr w:type="spellStart"/>
      <w:r w:rsidRPr="00BF5FFF">
        <w:rPr>
          <w:rFonts w:ascii="Times New Roman" w:hAnsi="Times New Roman"/>
          <w:sz w:val="20"/>
        </w:rPr>
        <w:t>i+C</w:t>
      </w:r>
      <w:proofErr w:type="spellEnd"/>
      <w:r w:rsidRPr="00BF5FFF">
        <w:rPr>
          <w:rFonts w:ascii="Times New Roman" w:hAnsi="Times New Roman"/>
          <w:sz w:val="20"/>
        </w:rPr>
        <w:t xml:space="preserve"> 7ij N i+С8 q))+(0,5 (С 2ij L i(</w:t>
      </w:r>
      <w:proofErr w:type="spellStart"/>
      <w:r w:rsidRPr="00BF5FFF">
        <w:rPr>
          <w:rFonts w:ascii="Times New Roman" w:hAnsi="Times New Roman"/>
          <w:sz w:val="20"/>
        </w:rPr>
        <w:t>вл</w:t>
      </w:r>
      <w:proofErr w:type="spellEnd"/>
      <w:r w:rsidRPr="00BF5FFF">
        <w:rPr>
          <w:rFonts w:ascii="Times New Roman" w:hAnsi="Times New Roman"/>
          <w:sz w:val="20"/>
        </w:rPr>
        <w:t>)+С 3ij L i(</w:t>
      </w:r>
      <w:proofErr w:type="spellStart"/>
      <w:r w:rsidRPr="00BF5FFF">
        <w:rPr>
          <w:rFonts w:ascii="Times New Roman" w:hAnsi="Times New Roman"/>
          <w:sz w:val="20"/>
        </w:rPr>
        <w:t>кл</w:t>
      </w:r>
      <w:proofErr w:type="spellEnd"/>
      <w:r w:rsidRPr="00BF5FFF">
        <w:rPr>
          <w:rFonts w:ascii="Times New Roman" w:hAnsi="Times New Roman"/>
          <w:sz w:val="20"/>
        </w:rPr>
        <w:t xml:space="preserve">)+C 4ij T+C 5ij N </w:t>
      </w:r>
      <w:proofErr w:type="spellStart"/>
      <w:r w:rsidRPr="00BF5FFF">
        <w:rPr>
          <w:rFonts w:ascii="Times New Roman" w:hAnsi="Times New Roman"/>
          <w:sz w:val="20"/>
        </w:rPr>
        <w:t>i+C</w:t>
      </w:r>
      <w:proofErr w:type="spellEnd"/>
      <w:r w:rsidRPr="00BF5FFF">
        <w:rPr>
          <w:rFonts w:ascii="Times New Roman" w:hAnsi="Times New Roman"/>
          <w:sz w:val="20"/>
        </w:rPr>
        <w:t xml:space="preserve"> 6ij N </w:t>
      </w:r>
      <w:proofErr w:type="spellStart"/>
      <w:r w:rsidRPr="00BF5FFF">
        <w:rPr>
          <w:rFonts w:ascii="Times New Roman" w:hAnsi="Times New Roman"/>
          <w:sz w:val="20"/>
        </w:rPr>
        <w:t>i+C</w:t>
      </w:r>
      <w:proofErr w:type="spellEnd"/>
      <w:r w:rsidRPr="00BF5FFF">
        <w:rPr>
          <w:rFonts w:ascii="Times New Roman" w:hAnsi="Times New Roman"/>
          <w:sz w:val="20"/>
        </w:rPr>
        <w:t xml:space="preserve"> 7ij N i+С8 q) ИПЦ t+1) = ПТП i(</w:t>
      </w:r>
      <w:proofErr w:type="spellStart"/>
      <w:r w:rsidRPr="00BF5FFF">
        <w:rPr>
          <w:rFonts w:ascii="Times New Roman" w:hAnsi="Times New Roman"/>
          <w:sz w:val="20"/>
        </w:rPr>
        <w:t>вл</w:t>
      </w:r>
      <w:proofErr w:type="spellEnd"/>
      <w:r w:rsidRPr="00BF5FFF">
        <w:rPr>
          <w:rFonts w:ascii="Times New Roman" w:hAnsi="Times New Roman"/>
          <w:sz w:val="20"/>
        </w:rPr>
        <w:t xml:space="preserve"> (</w:t>
      </w:r>
      <w:proofErr w:type="spellStart"/>
      <w:r w:rsidRPr="00BF5FFF">
        <w:rPr>
          <w:rFonts w:ascii="Times New Roman" w:hAnsi="Times New Roman"/>
          <w:sz w:val="20"/>
        </w:rPr>
        <w:t>кл</w:t>
      </w:r>
      <w:proofErr w:type="spellEnd"/>
      <w:r w:rsidRPr="00BF5FFF">
        <w:rPr>
          <w:rFonts w:ascii="Times New Roman" w:hAnsi="Times New Roman"/>
          <w:sz w:val="20"/>
        </w:rPr>
        <w:t>)+</w:t>
      </w:r>
      <w:proofErr w:type="spellStart"/>
      <w:r w:rsidRPr="00BF5FFF">
        <w:rPr>
          <w:rFonts w:ascii="Times New Roman" w:hAnsi="Times New Roman"/>
          <w:sz w:val="20"/>
        </w:rPr>
        <w:t>тп</w:t>
      </w:r>
      <w:proofErr w:type="spellEnd"/>
      <w:r w:rsidRPr="00BF5FFF">
        <w:rPr>
          <w:rFonts w:ascii="Times New Roman" w:hAnsi="Times New Roman"/>
          <w:sz w:val="20"/>
        </w:rPr>
        <w:t>) (руб.) (без НДС)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 xml:space="preserve">д) Если при технологическом присоединении по инициативе (обращению) Заявителя, максимальная мощность </w:t>
      </w:r>
      <w:proofErr w:type="spellStart"/>
      <w:r w:rsidRPr="00BF5FFF">
        <w:rPr>
          <w:rFonts w:ascii="Times New Roman" w:hAnsi="Times New Roman"/>
          <w:sz w:val="20"/>
        </w:rPr>
        <w:t>энергопринимающих</w:t>
      </w:r>
      <w:proofErr w:type="spellEnd"/>
      <w:r w:rsidRPr="00BF5FFF">
        <w:rPr>
          <w:rFonts w:ascii="Times New Roman" w:hAnsi="Times New Roman"/>
          <w:sz w:val="20"/>
        </w:rPr>
        <w:t xml:space="preserve"> устройств которого составляет не менее 670 кВт, установлены сроки выполнения мероприятий по технологическому присоединению более двух лет (но не более четырех лет):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С 1</w:t>
      </w:r>
      <w:proofErr w:type="gramStart"/>
      <w:r w:rsidRPr="00BF5FFF">
        <w:rPr>
          <w:rFonts w:ascii="Times New Roman" w:hAnsi="Times New Roman"/>
          <w:sz w:val="20"/>
        </w:rPr>
        <w:t>+(</w:t>
      </w:r>
      <w:proofErr w:type="gramEnd"/>
      <w:r w:rsidRPr="00BF5FFF">
        <w:rPr>
          <w:rFonts w:ascii="Times New Roman" w:hAnsi="Times New Roman"/>
          <w:sz w:val="20"/>
        </w:rPr>
        <w:t>0,5 (С 2ij L i(</w:t>
      </w:r>
      <w:proofErr w:type="spellStart"/>
      <w:r w:rsidRPr="00BF5FFF">
        <w:rPr>
          <w:rFonts w:ascii="Times New Roman" w:hAnsi="Times New Roman"/>
          <w:sz w:val="20"/>
        </w:rPr>
        <w:t>вл</w:t>
      </w:r>
      <w:proofErr w:type="spellEnd"/>
      <w:r w:rsidRPr="00BF5FFF">
        <w:rPr>
          <w:rFonts w:ascii="Times New Roman" w:hAnsi="Times New Roman"/>
          <w:sz w:val="20"/>
        </w:rPr>
        <w:t>)+С 3ij L i(</w:t>
      </w:r>
      <w:proofErr w:type="spellStart"/>
      <w:r w:rsidRPr="00BF5FFF">
        <w:rPr>
          <w:rFonts w:ascii="Times New Roman" w:hAnsi="Times New Roman"/>
          <w:sz w:val="20"/>
        </w:rPr>
        <w:t>кл</w:t>
      </w:r>
      <w:proofErr w:type="spellEnd"/>
      <w:r w:rsidRPr="00BF5FFF">
        <w:rPr>
          <w:rFonts w:ascii="Times New Roman" w:hAnsi="Times New Roman"/>
          <w:sz w:val="20"/>
        </w:rPr>
        <w:t xml:space="preserve">)+C 4ij T+C 5ij N </w:t>
      </w:r>
      <w:proofErr w:type="spellStart"/>
      <w:r w:rsidRPr="00BF5FFF">
        <w:rPr>
          <w:rFonts w:ascii="Times New Roman" w:hAnsi="Times New Roman"/>
          <w:sz w:val="20"/>
        </w:rPr>
        <w:t>i+C</w:t>
      </w:r>
      <w:proofErr w:type="spellEnd"/>
      <w:r w:rsidRPr="00BF5FFF">
        <w:rPr>
          <w:rFonts w:ascii="Times New Roman" w:hAnsi="Times New Roman"/>
          <w:sz w:val="20"/>
        </w:rPr>
        <w:t xml:space="preserve"> 6ij N </w:t>
      </w:r>
      <w:proofErr w:type="spellStart"/>
      <w:r w:rsidRPr="00BF5FFF">
        <w:rPr>
          <w:rFonts w:ascii="Times New Roman" w:hAnsi="Times New Roman"/>
          <w:sz w:val="20"/>
        </w:rPr>
        <w:t>i+C</w:t>
      </w:r>
      <w:proofErr w:type="spellEnd"/>
      <w:r w:rsidRPr="00BF5FFF">
        <w:rPr>
          <w:rFonts w:ascii="Times New Roman" w:hAnsi="Times New Roman"/>
          <w:sz w:val="20"/>
        </w:rPr>
        <w:t xml:space="preserve"> 7ij N i+С8 q) (ИЦП t+1 ИЦП t+0,5f))+(0,5 (С 2ij L i(</w:t>
      </w:r>
      <w:proofErr w:type="spellStart"/>
      <w:r w:rsidRPr="00BF5FFF">
        <w:rPr>
          <w:rFonts w:ascii="Times New Roman" w:hAnsi="Times New Roman"/>
          <w:sz w:val="20"/>
        </w:rPr>
        <w:t>вл</w:t>
      </w:r>
      <w:proofErr w:type="spellEnd"/>
      <w:r w:rsidRPr="00BF5FFF">
        <w:rPr>
          <w:rFonts w:ascii="Times New Roman" w:hAnsi="Times New Roman"/>
          <w:sz w:val="20"/>
        </w:rPr>
        <w:t>)+С 3ij L i(</w:t>
      </w:r>
      <w:proofErr w:type="spellStart"/>
      <w:r w:rsidRPr="00BF5FFF">
        <w:rPr>
          <w:rFonts w:ascii="Times New Roman" w:hAnsi="Times New Roman"/>
          <w:sz w:val="20"/>
        </w:rPr>
        <w:t>кл</w:t>
      </w:r>
      <w:proofErr w:type="spellEnd"/>
      <w:r w:rsidRPr="00BF5FFF">
        <w:rPr>
          <w:rFonts w:ascii="Times New Roman" w:hAnsi="Times New Roman"/>
          <w:sz w:val="20"/>
        </w:rPr>
        <w:t xml:space="preserve">)+C 4ij T+C 5ij N </w:t>
      </w:r>
      <w:proofErr w:type="spellStart"/>
      <w:r w:rsidRPr="00BF5FFF">
        <w:rPr>
          <w:rFonts w:ascii="Times New Roman" w:hAnsi="Times New Roman"/>
          <w:sz w:val="20"/>
        </w:rPr>
        <w:t>i+C</w:t>
      </w:r>
      <w:proofErr w:type="spellEnd"/>
      <w:r w:rsidRPr="00BF5FFF">
        <w:rPr>
          <w:rFonts w:ascii="Times New Roman" w:hAnsi="Times New Roman"/>
          <w:sz w:val="20"/>
        </w:rPr>
        <w:t xml:space="preserve"> 6ij N </w:t>
      </w:r>
      <w:proofErr w:type="spellStart"/>
      <w:r w:rsidRPr="00BF5FFF">
        <w:rPr>
          <w:rFonts w:ascii="Times New Roman" w:hAnsi="Times New Roman"/>
          <w:sz w:val="20"/>
        </w:rPr>
        <w:t>i+C</w:t>
      </w:r>
      <w:proofErr w:type="spellEnd"/>
      <w:r w:rsidRPr="00BF5FFF">
        <w:rPr>
          <w:rFonts w:ascii="Times New Roman" w:hAnsi="Times New Roman"/>
          <w:sz w:val="20"/>
        </w:rPr>
        <w:t xml:space="preserve"> 7ij N i+С8 q) (ИЦП t+1 ИЦП t+2...+ИЦП </w:t>
      </w:r>
      <w:proofErr w:type="spellStart"/>
      <w:r w:rsidRPr="00BF5FFF">
        <w:rPr>
          <w:rFonts w:ascii="Times New Roman" w:hAnsi="Times New Roman"/>
          <w:sz w:val="20"/>
        </w:rPr>
        <w:t>t+f</w:t>
      </w:r>
      <w:proofErr w:type="spellEnd"/>
      <w:r w:rsidRPr="00BF5FFF">
        <w:rPr>
          <w:rFonts w:ascii="Times New Roman" w:hAnsi="Times New Roman"/>
          <w:sz w:val="20"/>
        </w:rPr>
        <w:t>)) = ПТП i(</w:t>
      </w:r>
      <w:proofErr w:type="spellStart"/>
      <w:r w:rsidRPr="00BF5FFF">
        <w:rPr>
          <w:rFonts w:ascii="Times New Roman" w:hAnsi="Times New Roman"/>
          <w:sz w:val="20"/>
        </w:rPr>
        <w:t>вл</w:t>
      </w:r>
      <w:proofErr w:type="spellEnd"/>
      <w:r w:rsidRPr="00BF5FFF">
        <w:rPr>
          <w:rFonts w:ascii="Times New Roman" w:hAnsi="Times New Roman"/>
          <w:sz w:val="20"/>
        </w:rPr>
        <w:t xml:space="preserve"> (</w:t>
      </w:r>
      <w:proofErr w:type="spellStart"/>
      <w:r w:rsidRPr="00BF5FFF">
        <w:rPr>
          <w:rFonts w:ascii="Times New Roman" w:hAnsi="Times New Roman"/>
          <w:sz w:val="20"/>
        </w:rPr>
        <w:t>кл</w:t>
      </w:r>
      <w:proofErr w:type="spellEnd"/>
      <w:r w:rsidRPr="00BF5FFF">
        <w:rPr>
          <w:rFonts w:ascii="Times New Roman" w:hAnsi="Times New Roman"/>
          <w:sz w:val="20"/>
        </w:rPr>
        <w:t>)+</w:t>
      </w:r>
      <w:proofErr w:type="spellStart"/>
      <w:r w:rsidRPr="00BF5FFF">
        <w:rPr>
          <w:rFonts w:ascii="Times New Roman" w:hAnsi="Times New Roman"/>
          <w:sz w:val="20"/>
        </w:rPr>
        <w:t>тп</w:t>
      </w:r>
      <w:proofErr w:type="spellEnd"/>
      <w:r w:rsidRPr="00BF5FFF">
        <w:rPr>
          <w:rFonts w:ascii="Times New Roman" w:hAnsi="Times New Roman"/>
          <w:sz w:val="20"/>
        </w:rPr>
        <w:t>)(руб.) (без НДС)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где: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i - уровень напряжения;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j - диапазон присоединяемой мощности;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t - год утверждения платы;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f - период, указанный в технических условиях, начиная с года, следующего за годом утверждения платы;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N i - объем максимальной мощности, указанной в заявке Заявителя;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L (</w:t>
      </w:r>
      <w:proofErr w:type="spellStart"/>
      <w:r w:rsidRPr="00BF5FFF">
        <w:rPr>
          <w:rFonts w:ascii="Times New Roman" w:hAnsi="Times New Roman"/>
          <w:sz w:val="20"/>
        </w:rPr>
        <w:t>вл</w:t>
      </w:r>
      <w:proofErr w:type="spellEnd"/>
      <w:r w:rsidRPr="00BF5FFF">
        <w:rPr>
          <w:rFonts w:ascii="Times New Roman" w:hAnsi="Times New Roman"/>
          <w:sz w:val="20"/>
        </w:rPr>
        <w:t xml:space="preserve"> (</w:t>
      </w:r>
      <w:proofErr w:type="spellStart"/>
      <w:r w:rsidRPr="00BF5FFF">
        <w:rPr>
          <w:rFonts w:ascii="Times New Roman" w:hAnsi="Times New Roman"/>
          <w:sz w:val="20"/>
        </w:rPr>
        <w:t>кл</w:t>
      </w:r>
      <w:proofErr w:type="spellEnd"/>
      <w:r w:rsidRPr="00BF5FFF">
        <w:rPr>
          <w:rFonts w:ascii="Times New Roman" w:hAnsi="Times New Roman"/>
          <w:sz w:val="20"/>
        </w:rPr>
        <w:t>)) - протяженность ВЛ (КЛ) на i-том уровне напряжения;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T - количество пунктов секционирования (шт.);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q - количество средств коммерческого учета электрической энергии (мощности);</w:t>
      </w:r>
    </w:p>
    <w:p w:rsidR="00BF5FFF" w:rsidRP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 xml:space="preserve">  - стандартизированные тарифные ставки;</w:t>
      </w:r>
    </w:p>
    <w:p w:rsidR="00BF5FFF" w:rsidRDefault="00BF5FFF" w:rsidP="00BF5FFF">
      <w:pPr>
        <w:ind w:left="567"/>
        <w:rPr>
          <w:rFonts w:ascii="Times New Roman" w:hAnsi="Times New Roman"/>
          <w:sz w:val="20"/>
        </w:rPr>
      </w:pPr>
      <w:r w:rsidRPr="00BF5FFF">
        <w:rPr>
          <w:rFonts w:ascii="Times New Roman" w:hAnsi="Times New Roman"/>
          <w:sz w:val="20"/>
        </w:rPr>
        <w:t>ИЦП - прогнозный индекс цен производителей по подразделу "Строительство" раздела "Капитальные вложения (инвестиции)", публикуемых Министерством экономического развития Российской Федерации (при отсутствии этого индекса используется индекс потребительских цен).</w:t>
      </w:r>
    </w:p>
    <w:p w:rsidR="00516F80" w:rsidRDefault="00BF5FFF" w:rsidP="00BF5FFF">
      <w:pPr>
        <w:ind w:left="56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Текст постановления опубликован на сайте электронного периодического издания "Новости Саратовской губернии" (http://g-64.ru/) </w:t>
      </w:r>
      <w:r w:rsidRPr="00C201A3"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  <w:sz w:val="20"/>
        </w:rPr>
        <w:t xml:space="preserve"> декабря 202</w:t>
      </w:r>
      <w:r w:rsidRPr="00C201A3"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  <w:sz w:val="20"/>
        </w:rPr>
        <w:t> г</w:t>
      </w:r>
      <w:r w:rsidR="00201B5A">
        <w:rPr>
          <w:rFonts w:ascii="Times New Roman" w:hAnsi="Times New Roman"/>
          <w:sz w:val="20"/>
        </w:rPr>
        <w:t>.</w:t>
      </w:r>
    </w:p>
    <w:p w:rsidR="00516F80" w:rsidRDefault="00516F80">
      <w:pPr>
        <w:rPr>
          <w:rFonts w:ascii="Times New Roman" w:hAnsi="Times New Roman"/>
          <w:sz w:val="20"/>
        </w:rPr>
        <w:sectPr w:rsidR="00516F80">
          <w:pgSz w:w="11906" w:h="16838"/>
          <w:pgMar w:top="568" w:right="851" w:bottom="1134" w:left="567" w:header="0" w:footer="0" w:gutter="0"/>
          <w:cols w:space="720"/>
          <w:formProt w:val="0"/>
          <w:docGrid w:linePitch="360"/>
        </w:sectPr>
      </w:pPr>
    </w:p>
    <w:p w:rsidR="00516F80" w:rsidRPr="00BF5FFF" w:rsidRDefault="00BF5FFF">
      <w:pPr>
        <w:jc w:val="center"/>
        <w:rPr>
          <w:rStyle w:val="a6"/>
        </w:rPr>
      </w:pPr>
      <w:r>
        <w:rPr>
          <w:rStyle w:val="a6"/>
          <w:rFonts w:ascii="Times New Roman" w:hAnsi="Times New Roman"/>
        </w:rPr>
        <w:lastRenderedPageBreak/>
        <w:fldChar w:fldCharType="begin"/>
      </w:r>
      <w:r>
        <w:rPr>
          <w:rStyle w:val="a6"/>
          <w:rFonts w:ascii="Times New Roman" w:hAnsi="Times New Roman"/>
        </w:rPr>
        <w:instrText xml:space="preserve"> HYPERLINK "https://g-64.ru/docs/komitet-gosudarstvennogo-regulirovaniya-tarifov-oblasti/postanovlenie-komiteta-gosudarstvennogo-regulirovaniya-tarifov-saratovskoy-oblasti-ot-28-noyabrya-2025-goda-58/" </w:instrText>
      </w:r>
      <w:r>
        <w:rPr>
          <w:rStyle w:val="a6"/>
          <w:rFonts w:ascii="Times New Roman" w:hAnsi="Times New Roman"/>
        </w:rPr>
      </w:r>
      <w:r>
        <w:rPr>
          <w:rStyle w:val="a6"/>
          <w:rFonts w:ascii="Times New Roman" w:hAnsi="Times New Roman"/>
        </w:rPr>
        <w:fldChar w:fldCharType="separate"/>
      </w:r>
      <w:r w:rsidR="00201B5A" w:rsidRPr="00BF5FFF">
        <w:rPr>
          <w:rStyle w:val="a6"/>
          <w:rFonts w:ascii="Times New Roman" w:hAnsi="Times New Roman"/>
        </w:rPr>
        <w:t>Постановлением комитета гос</w:t>
      </w:r>
      <w:r w:rsidR="00201B5A" w:rsidRPr="00BF5FFF">
        <w:rPr>
          <w:rStyle w:val="a6"/>
          <w:rFonts w:ascii="Times New Roman" w:hAnsi="Times New Roman"/>
        </w:rPr>
        <w:t>ударственного регулирования тарифов Саратовской области от 2</w:t>
      </w:r>
      <w:r w:rsidRPr="00BF5FFF">
        <w:rPr>
          <w:rStyle w:val="a6"/>
          <w:rFonts w:ascii="Times New Roman" w:hAnsi="Times New Roman"/>
        </w:rPr>
        <w:t>8</w:t>
      </w:r>
      <w:r w:rsidR="00201B5A" w:rsidRPr="00BF5FFF">
        <w:rPr>
          <w:rStyle w:val="a6"/>
          <w:rFonts w:ascii="Times New Roman" w:hAnsi="Times New Roman"/>
        </w:rPr>
        <w:t xml:space="preserve"> ноября 202</w:t>
      </w:r>
      <w:r w:rsidRPr="00BF5FFF">
        <w:rPr>
          <w:rStyle w:val="a6"/>
          <w:rFonts w:ascii="Times New Roman" w:hAnsi="Times New Roman"/>
        </w:rPr>
        <w:t>5 года № 5</w:t>
      </w:r>
      <w:r w:rsidR="00201B5A" w:rsidRPr="00BF5FFF">
        <w:rPr>
          <w:rStyle w:val="a6"/>
          <w:rFonts w:ascii="Times New Roman" w:hAnsi="Times New Roman"/>
        </w:rPr>
        <w:t>8 «</w:t>
      </w:r>
      <w:r w:rsidR="00201B5A" w:rsidRPr="00BF5FFF">
        <w:rPr>
          <w:rStyle w:val="a6"/>
          <w:rFonts w:ascii="PT Astra Serif" w:hAnsi="PT Astra Serif" w:cs="PT Astra Serif"/>
        </w:rPr>
        <w:t>Об установлении льготной ставки за 1 кВт запрашиваемой максимальной мощности при технологическом присоединении объектов к территориальным распределительным сетям Саратовск</w:t>
      </w:r>
      <w:r w:rsidR="00201B5A" w:rsidRPr="00BF5FFF">
        <w:rPr>
          <w:rStyle w:val="a6"/>
          <w:rFonts w:ascii="PT Astra Serif" w:hAnsi="PT Astra Serif" w:cs="PT Astra Serif"/>
        </w:rPr>
        <w:t>ой области на 202</w:t>
      </w:r>
      <w:r w:rsidRPr="00BF5FFF">
        <w:rPr>
          <w:rStyle w:val="a6"/>
          <w:rFonts w:ascii="PT Astra Serif" w:hAnsi="PT Astra Serif" w:cs="PT Astra Serif"/>
        </w:rPr>
        <w:t>6</w:t>
      </w:r>
      <w:r w:rsidR="00201B5A" w:rsidRPr="00BF5FFF">
        <w:rPr>
          <w:rStyle w:val="a6"/>
          <w:rFonts w:ascii="PT Astra Serif" w:hAnsi="PT Astra Serif" w:cs="PT Astra Serif"/>
        </w:rPr>
        <w:t xml:space="preserve"> год</w:t>
      </w:r>
      <w:r w:rsidR="00201B5A" w:rsidRPr="00BF5FFF">
        <w:rPr>
          <w:rStyle w:val="a6"/>
          <w:rFonts w:ascii="Times New Roman" w:hAnsi="Times New Roman"/>
        </w:rPr>
        <w:t>» установлены и введены в действие с 1 января 202</w:t>
      </w:r>
      <w:r w:rsidRPr="00BF5FFF">
        <w:rPr>
          <w:rStyle w:val="a6"/>
          <w:rFonts w:ascii="Times New Roman" w:hAnsi="Times New Roman"/>
        </w:rPr>
        <w:t>6</w:t>
      </w:r>
      <w:r w:rsidR="00201B5A" w:rsidRPr="00BF5FFF">
        <w:rPr>
          <w:rStyle w:val="a6"/>
          <w:rFonts w:ascii="Times New Roman" w:hAnsi="Times New Roman"/>
        </w:rPr>
        <w:t xml:space="preserve"> года:</w:t>
      </w:r>
    </w:p>
    <w:p w:rsidR="00516F80" w:rsidRDefault="00BF5FFF">
      <w:pPr>
        <w:spacing w:after="0" w:line="240" w:lineRule="auto"/>
        <w:jc w:val="right"/>
        <w:rPr>
          <w:rFonts w:ascii="Times New Roman" w:hAnsi="Times New Roman"/>
        </w:rPr>
      </w:pPr>
      <w:r>
        <w:rPr>
          <w:rStyle w:val="a6"/>
          <w:rFonts w:ascii="Times New Roman" w:hAnsi="Times New Roman"/>
        </w:rPr>
        <w:fldChar w:fldCharType="end"/>
      </w:r>
      <w:r w:rsidR="00201B5A">
        <w:rPr>
          <w:rFonts w:ascii="Times New Roman" w:hAnsi="Times New Roman"/>
        </w:rPr>
        <w:t>Таблица 3</w:t>
      </w:r>
      <w:r w:rsidR="00201B5A">
        <w:rPr>
          <w:rFonts w:ascii="Times New Roman" w:hAnsi="Times New Roman"/>
        </w:rPr>
        <w:t>.</w:t>
      </w:r>
    </w:p>
    <w:tbl>
      <w:tblPr>
        <w:tblW w:w="158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200"/>
        <w:gridCol w:w="2676"/>
      </w:tblGrid>
      <w:tr w:rsidR="00516F80">
        <w:trPr>
          <w:trHeight w:val="555"/>
        </w:trPr>
        <w:tc>
          <w:tcPr>
            <w:tcW w:w="1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F80" w:rsidRDefault="00201B5A">
            <w:pPr>
              <w:widowControl w:val="0"/>
              <w:tabs>
                <w:tab w:val="left" w:pos="133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6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F80" w:rsidRDefault="00201B5A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Размер платы, руб./1 кВт (без учета НДС) с 1 января 2025 года по 31 декабря 2025 года</w:t>
            </w:r>
          </w:p>
        </w:tc>
      </w:tr>
      <w:tr w:rsidR="00516F80">
        <w:trPr>
          <w:trHeight w:val="1979"/>
        </w:trPr>
        <w:tc>
          <w:tcPr>
            <w:tcW w:w="13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F80" w:rsidRDefault="00201B5A">
            <w:pPr>
              <w:tabs>
                <w:tab w:val="left" w:pos="709"/>
              </w:tabs>
              <w:ind w:right="-1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Льготная ставка</w:t>
            </w:r>
            <w:r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за 1 кВт </w:t>
            </w:r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запрашиваемой максимальной мощности при технологическом присоединении объектов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микрогенерации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(за исключением случаев подачи заявки Заявителем - юридическим лицом или индивидуальным предпринимателем в целях одновременного присоединения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 и объектов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микрогенерации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), в том числе при одновременном технологическом присоединении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 Заявителей - физических лиц, максимальная мощность которых не превышает 15 кВт включительно (с учетом ранее присоединенных в данной точке присоединения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устройств), и объектов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микрогенерации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, а также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 заявителей - физических лиц, максимальная мощность которых не превышает 15 кВт включительно (с учетом ранее присоединенных в данной точке присоединения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устройств), за исключением случаев, указанных в пункте 2 настоящего постановления, устанавливаемая в отношении всей совокупности мероприятий по технологическому присоединению, при присоединении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 и (или) объектов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микрогенерации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по третьей категории надежности к объектам электросетевого хозяйства сетевой организации на уровне напряжения 0,4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и ниже, при условии, что расстояние от границ участка заявителя до ближайшего объекта электрической сети необходимого заявителю класса напряжения, в которую подана заявка, составляет не более 300 метров в городах и поселках городского типа и не более 500 метров в сельской местности</w:t>
            </w:r>
          </w:p>
        </w:tc>
        <w:tc>
          <w:tcPr>
            <w:tcW w:w="26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F80" w:rsidRDefault="00BF5FF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6265,82</w:t>
            </w:r>
          </w:p>
        </w:tc>
      </w:tr>
      <w:tr w:rsidR="00516F80">
        <w:trPr>
          <w:trHeight w:val="1214"/>
        </w:trPr>
        <w:tc>
          <w:tcPr>
            <w:tcW w:w="13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F80" w:rsidRDefault="00201B5A">
            <w:pPr>
              <w:tabs>
                <w:tab w:val="left" w:pos="709"/>
              </w:tabs>
              <w:ind w:right="-1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Льготная ставка за 1 кВт </w:t>
            </w:r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запрашиваемой максимальной мощности при технологическом присоединении для случаев подачи заявки Заявителем - юридическим лицом или индивидуальным предпринимателем объектов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микрогенерации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, а также одновременного технологического присоединения объектов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микрогенерации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 максимальной мощностью не более 150 кВт (с учетом ранее присоединенных в данной точке присоединения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устройств), присоединяемых по третьей категории надежности к объектам электросетевого хозяйства сетевой организации на уровне напряжения 0,4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и ниже, при условии, что расстояние от этих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 и (или) объектов </w:t>
            </w:r>
            <w:proofErr w:type="spellStart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микрогенерации</w:t>
            </w:r>
            <w:proofErr w:type="spellEnd"/>
            <w:r w:rsidR="00BF5FFF" w:rsidRPr="00BF5FFF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до существующих объектов электросетевого хозяйства сетевых организаций составляет не более 200 метров в городах и поселках городского типа и не более 300 метров в сельской местности</w:t>
            </w:r>
          </w:p>
        </w:tc>
        <w:tc>
          <w:tcPr>
            <w:tcW w:w="26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F80" w:rsidRDefault="00BF5FF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6265,82</w:t>
            </w:r>
          </w:p>
        </w:tc>
      </w:tr>
      <w:tr w:rsidR="00516F80">
        <w:trPr>
          <w:trHeight w:val="4323"/>
        </w:trPr>
        <w:tc>
          <w:tcPr>
            <w:tcW w:w="13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F80" w:rsidRDefault="00201B5A">
            <w:pPr>
              <w:tabs>
                <w:tab w:val="left" w:pos="709"/>
              </w:tabs>
              <w:ind w:right="-1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Льготная ставка</w:t>
            </w:r>
            <w:r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за 1 кВт </w:t>
            </w:r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запрашиваемой максимальной мощности при технологическом присоединении </w:t>
            </w:r>
            <w:proofErr w:type="spellStart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 Заявителей - физических лиц, максимальная мощность которых не превышает 15 кВт включительно (с учетом ранее присоединенных в данной точке присоединения </w:t>
            </w:r>
            <w:proofErr w:type="spellStart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устройств), владеющих объектами, отнесенными к третьей категории надежности (по одному источнику электроснабжения), при условии, что расстояние от границ участка Заявителя до объектов электросетевого хозяйства на уровне напряжения 0,4 </w:t>
            </w:r>
            <w:proofErr w:type="spellStart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и ниже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не более 500 метров в сельской местности, объектов </w:t>
            </w:r>
            <w:proofErr w:type="spellStart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микрогенерации</w:t>
            </w:r>
            <w:proofErr w:type="spellEnd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, в том числе за одновременное технологическое присоединение </w:t>
            </w:r>
            <w:proofErr w:type="spellStart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энергопринимающих</w:t>
            </w:r>
            <w:proofErr w:type="spellEnd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 устройств и объектов </w:t>
            </w:r>
            <w:proofErr w:type="spellStart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микрогенерации</w:t>
            </w:r>
            <w:proofErr w:type="spellEnd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 xml:space="preserve">, при заключении договора членом малообеспеченной семьи (одиноко проживающим гражданином), среднедушевой доход которой (доход которого) ниже величины прожиточного минимума, определенной в соответствии со статьей 4 Федерального закона от 24 октября 1997 года N 134-ФЗ "О прожиточном минимуме в Российской Федерации", а также лицами, указанными в статьях 14-16, 18 и 21 Федерального закона от 12 января 1995 года N 5-ФЗ "О ветеранах", статье 17 Федерального закона от 24 ноября 1995 года N 181-ФЗ "О социальной защите инвалидов в Российской Федерации", статье 14 Закона Российской Федерации от 15 мая 1991 года N 1244-1 "О социальной защите граждан, подвергшихся воздействию радиации вследствие катастрофы на Чернобыльской АЭС", статье 2 Федерального закона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полигоне", части 8 статьи 154 Федерального закона от 22 августа 2004 года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Федерации", статье 1 Федерального закона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Теча</w:t>
            </w:r>
            <w:proofErr w:type="spellEnd"/>
            <w:r w:rsidRPr="00201B5A">
              <w:rPr>
                <w:rFonts w:ascii="Arial" w:eastAsia="Times New Roman" w:hAnsi="Arial" w:cs="PT Astra Serif"/>
                <w:color w:val="000000"/>
                <w:sz w:val="16"/>
                <w:szCs w:val="16"/>
                <w:lang w:eastAsia="ru-RU"/>
              </w:rPr>
              <w:t>", пункте 1 и абзаце четвертом пункта 2 постановления Верховного Совета Российской Федерации от 27 декабря 1991 года N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риска", Указе Президента Российской Федерации от 5 мая 1992 года N 431 "О мерах по социальной поддержке многодетных семей", устанавливаемая в отношении всей совокупности мероприятий по технологическому присоединению</w:t>
            </w:r>
          </w:p>
        </w:tc>
        <w:tc>
          <w:tcPr>
            <w:tcW w:w="26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F80" w:rsidRDefault="00BF5FFF">
            <w:pPr>
              <w:tabs>
                <w:tab w:val="left" w:pos="709"/>
              </w:tabs>
              <w:ind w:right="-1"/>
              <w:jc w:val="center"/>
              <w:rPr>
                <w:sz w:val="16"/>
                <w:szCs w:val="16"/>
              </w:rPr>
            </w:pPr>
            <w:r>
              <w:rPr>
                <w:rFonts w:ascii="PT Astra Serif" w:eastAsia="Times New Roman" w:hAnsi="PT Astra Serif" w:cs="PT Astra Serif"/>
                <w:color w:val="000000"/>
                <w:sz w:val="16"/>
                <w:szCs w:val="16"/>
                <w:lang w:eastAsia="ru-RU"/>
              </w:rPr>
              <w:t>1087,01</w:t>
            </w:r>
          </w:p>
        </w:tc>
      </w:tr>
    </w:tbl>
    <w:p w:rsidR="00516F80" w:rsidRDefault="00516F80">
      <w:pPr>
        <w:rPr>
          <w:rFonts w:ascii="Times New Roman" w:hAnsi="Times New Roman"/>
        </w:rPr>
      </w:pPr>
    </w:p>
    <w:p w:rsidR="00516F80" w:rsidRDefault="00BF5FFF" w:rsidP="00BF5FFF">
      <w:pPr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 xml:space="preserve">Текст постановления опубликован на сайте электронного периодического издания "Новости Саратовской губернии" (http://g-64.ru/) </w:t>
      </w:r>
      <w:r w:rsidRPr="00C201A3"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  <w:sz w:val="20"/>
        </w:rPr>
        <w:t xml:space="preserve"> декабря 202</w:t>
      </w:r>
      <w:r w:rsidRPr="00C201A3"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  <w:sz w:val="20"/>
        </w:rPr>
        <w:t> г.</w:t>
      </w:r>
    </w:p>
    <w:sectPr w:rsidR="00516F80">
      <w:pgSz w:w="16838" w:h="11906" w:orient="landscape"/>
      <w:pgMar w:top="567" w:right="56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16F80"/>
    <w:rsid w:val="00201B5A"/>
    <w:rsid w:val="00516F80"/>
    <w:rsid w:val="00BF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0AAF-91D0-4029-B355-E141E2ED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1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8661E"/>
    <w:pPr>
      <w:widowControl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semiHidden/>
    <w:qFormat/>
    <w:rsid w:val="0068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uiPriority w:val="22"/>
    <w:qFormat/>
    <w:rsid w:val="005A2A1E"/>
    <w:rPr>
      <w:b/>
      <w:bCs/>
    </w:rPr>
  </w:style>
  <w:style w:type="character" w:styleId="a6">
    <w:name w:val="Hyperlink"/>
    <w:uiPriority w:val="99"/>
    <w:unhideWhenUsed/>
    <w:rsid w:val="005A2A1E"/>
    <w:rPr>
      <w:color w:val="0000FF"/>
      <w:u w:val="single"/>
    </w:rPr>
  </w:style>
  <w:style w:type="character" w:customStyle="1" w:styleId="a7">
    <w:name w:val="Основной текст Знак"/>
    <w:link w:val="a8"/>
    <w:uiPriority w:val="1"/>
    <w:qFormat/>
    <w:rsid w:val="00787A07"/>
    <w:rPr>
      <w:rFonts w:ascii="Arial" w:eastAsia="Arial" w:hAnsi="Arial" w:cs="Arial"/>
      <w:sz w:val="16"/>
      <w:szCs w:val="16"/>
      <w:lang w:bidi="ru-RU"/>
    </w:rPr>
  </w:style>
  <w:style w:type="character" w:styleId="a9">
    <w:name w:val="FollowedHyperlink"/>
    <w:uiPriority w:val="99"/>
    <w:semiHidden/>
    <w:unhideWhenUsed/>
    <w:rsid w:val="00D6301B"/>
    <w:rPr>
      <w:color w:val="954F72"/>
      <w:u w:val="single"/>
    </w:rPr>
  </w:style>
  <w:style w:type="character" w:customStyle="1" w:styleId="aa">
    <w:name w:val="Гипертекстовая ссылка"/>
    <w:basedOn w:val="a0"/>
    <w:uiPriority w:val="99"/>
    <w:qFormat/>
    <w:rsid w:val="003F7F82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qFormat/>
    <w:rsid w:val="0008661E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b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link w:val="a7"/>
    <w:uiPriority w:val="1"/>
    <w:qFormat/>
    <w:rsid w:val="00787A07"/>
    <w:pPr>
      <w:widowControl w:val="0"/>
      <w:spacing w:after="0" w:line="240" w:lineRule="auto"/>
    </w:pPr>
    <w:rPr>
      <w:rFonts w:ascii="Arial" w:eastAsia="Arial" w:hAnsi="Arial" w:cs="Arial"/>
      <w:sz w:val="16"/>
      <w:szCs w:val="16"/>
      <w:lang w:val="x-none" w:eastAsia="x-none" w:bidi="ru-RU"/>
    </w:rPr>
  </w:style>
  <w:style w:type="paragraph" w:styleId="ac">
    <w:name w:val="List"/>
    <w:basedOn w:val="a8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semiHidden/>
    <w:unhideWhenUsed/>
    <w:rsid w:val="00687B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paragraph" w:styleId="af0">
    <w:name w:val="List Paragraph"/>
    <w:basedOn w:val="a"/>
    <w:uiPriority w:val="1"/>
    <w:qFormat/>
    <w:rsid w:val="005A2A1E"/>
    <w:pPr>
      <w:ind w:left="720"/>
      <w:contextualSpacing/>
    </w:pPr>
    <w:rPr>
      <w:rFonts w:eastAsia="Times New Roman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2D273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qFormat/>
    <w:rsid w:val="00A1354B"/>
    <w:pPr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A3EA6"/>
    <w:pPr>
      <w:widowControl w:val="0"/>
      <w:spacing w:after="0" w:line="240" w:lineRule="auto"/>
    </w:pPr>
    <w:rPr>
      <w:rFonts w:ascii="Arial" w:eastAsia="Arial" w:hAnsi="Arial" w:cs="Arial"/>
      <w:lang w:eastAsia="ru-RU" w:bidi="ru-RU"/>
    </w:rPr>
  </w:style>
  <w:style w:type="paragraph" w:customStyle="1" w:styleId="ConsPlusNormal">
    <w:name w:val="ConsPlusNormal"/>
    <w:qFormat/>
    <w:rsid w:val="007A0706"/>
    <w:pPr>
      <w:widowControl w:val="0"/>
    </w:pPr>
    <w:rPr>
      <w:rFonts w:eastAsia="Times New Roman" w:cs="Calibri"/>
      <w:sz w:val="22"/>
    </w:rPr>
  </w:style>
  <w:style w:type="paragraph" w:customStyle="1" w:styleId="af3">
    <w:name w:val="Нормальный (таблица)"/>
    <w:basedOn w:val="a"/>
    <w:next w:val="a"/>
    <w:uiPriority w:val="99"/>
    <w:qFormat/>
    <w:rsid w:val="008032DB"/>
    <w:pPr>
      <w:widowControl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table" w:styleId="af6">
    <w:name w:val="Table Grid"/>
    <w:basedOn w:val="a1"/>
    <w:rsid w:val="00687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A3EA6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87A07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87A07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201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201B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B15A7-F695-4BEB-9915-1B986127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8</Pages>
  <Words>4590</Words>
  <Characters>26165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 Aleksandr Sergeevich</dc:creator>
  <dc:description/>
  <cp:lastModifiedBy>Орлов Александр Сергеевич</cp:lastModifiedBy>
  <cp:revision>31</cp:revision>
  <cp:lastPrinted>2025-12-24T07:04:00Z</cp:lastPrinted>
  <dcterms:created xsi:type="dcterms:W3CDTF">2021-01-11T06:49:00Z</dcterms:created>
  <dcterms:modified xsi:type="dcterms:W3CDTF">2025-12-24T07:04:00Z</dcterms:modified>
  <dc:language>ru-RU</dc:language>
</cp:coreProperties>
</file>