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b/>
        </w:rPr>
      </w:pPr>
      <w:r>
        <w:rPr>
          <w:rFonts w:ascii="Times New Roman" w:hAnsi="Times New Roman"/>
          <w:b/>
        </w:rPr>
        <w:t>Информация о ценах (тарифах) на товары (работы, услуги) АО «СПГЭС»,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p>
      <w:pPr>
        <w:pStyle w:val="Normal"/>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sz w:val="18"/>
          <w:szCs w:val="18"/>
        </w:rPr>
      </w:r>
    </w:p>
    <w:p>
      <w:pPr>
        <w:pStyle w:val="Normal"/>
        <w:ind w:left="709" w:firstLine="425"/>
        <w:jc w:val="center"/>
        <w:rPr/>
      </w:pPr>
      <w:hyperlink r:id="rId2">
        <w:r>
          <w:rPr>
            <w:rStyle w:val="-"/>
            <w:rFonts w:ascii="Times New Roman" w:hAnsi="Times New Roman"/>
          </w:rPr>
          <w:t xml:space="preserve">Постановлением комитета государственного регулирования тарифов Саратовской области от </w:t>
        </w:r>
        <w:r>
          <w:rPr>
            <w:rStyle w:val="-"/>
            <w:rFonts w:ascii="Times New Roman" w:hAnsi="Times New Roman"/>
          </w:rPr>
          <w:t>29</w:t>
        </w:r>
        <w:r>
          <w:rPr>
            <w:rStyle w:val="-"/>
            <w:rFonts w:ascii="Times New Roman" w:hAnsi="Times New Roman"/>
          </w:rPr>
          <w:t xml:space="preserve"> </w:t>
        </w:r>
        <w:r>
          <w:rPr>
            <w:rStyle w:val="-"/>
            <w:rFonts w:ascii="Times New Roman" w:hAnsi="Times New Roman"/>
          </w:rPr>
          <w:t>ноября</w:t>
        </w:r>
        <w:r>
          <w:rPr>
            <w:rStyle w:val="-"/>
            <w:rFonts w:ascii="Times New Roman" w:hAnsi="Times New Roman"/>
          </w:rPr>
          <w:t xml:space="preserve"> 202</w:t>
        </w:r>
        <w:r>
          <w:rPr>
            <w:rStyle w:val="-"/>
            <w:rFonts w:ascii="Times New Roman" w:hAnsi="Times New Roman"/>
          </w:rPr>
          <w:t>4</w:t>
        </w:r>
        <w:r>
          <w:rPr>
            <w:rStyle w:val="-"/>
            <w:rFonts w:ascii="Times New Roman" w:hAnsi="Times New Roman"/>
          </w:rPr>
          <w:t xml:space="preserve"> года № </w:t>
        </w:r>
        <w:r>
          <w:rPr>
            <w:rStyle w:val="-"/>
            <w:rFonts w:ascii="Times New Roman" w:hAnsi="Times New Roman"/>
          </w:rPr>
          <w:t>84</w:t>
        </w:r>
        <w:r>
          <w:rPr>
            <w:rStyle w:val="-"/>
            <w:rFonts w:ascii="Times New Roman" w:hAnsi="Times New Roman"/>
          </w:rPr>
          <w:t xml:space="preserve"> «Об установлении индивидуальных тарифов на услуги по передаче электрической энергии для взаиморасчетов </w:t>
        </w:r>
        <w:r>
          <w:rPr>
            <w:rStyle w:val="-"/>
            <w:rFonts w:ascii="Times New Roman" w:hAnsi="Times New Roman"/>
          </w:rPr>
          <w:t xml:space="preserve">филиала </w:t>
        </w:r>
        <w:r>
          <w:rPr>
            <w:rStyle w:val="-"/>
            <w:rFonts w:ascii="Times New Roman" w:hAnsi="Times New Roman"/>
          </w:rPr>
          <w:t xml:space="preserve"> </w:t>
        </w:r>
        <w:r>
          <w:rPr>
            <w:rStyle w:val="-"/>
            <w:rFonts w:ascii="Times New Roman" w:hAnsi="Times New Roman"/>
          </w:rPr>
          <w:t>ПАО «Россети Волга» - «Саратовские распределительные сети»</w:t>
        </w:r>
        <w:r>
          <w:rPr>
            <w:rStyle w:val="-"/>
            <w:rFonts w:ascii="Times New Roman" w:hAnsi="Times New Roman"/>
          </w:rPr>
          <w:t xml:space="preserve">  с территориальными сетевыми организациями", согласно таблице </w:t>
        </w:r>
        <w:r>
          <w:rPr>
            <w:rStyle w:val="-"/>
            <w:rFonts w:ascii="Times New Roman" w:hAnsi="Times New Roman"/>
          </w:rPr>
          <w:t>1</w:t>
        </w:r>
      </w:hyperlink>
    </w:p>
    <w:p>
      <w:pPr>
        <w:pStyle w:val="Normal"/>
        <w:ind w:left="709" w:firstLine="425"/>
        <w:jc w:val="center"/>
        <w:rPr>
          <w:rStyle w:val="-"/>
          <w:rFonts w:ascii="Times New Roman" w:hAnsi="Times New Roman"/>
        </w:rPr>
      </w:pPr>
      <w:r>
        <w:rPr/>
      </w:r>
    </w:p>
    <w:p>
      <w:pPr>
        <w:pStyle w:val="Normal"/>
        <w:jc w:val="right"/>
        <w:rPr>
          <w:rFonts w:ascii="Times New Roman" w:hAnsi="Times New Roman"/>
          <w:b/>
        </w:rPr>
      </w:pPr>
      <w:r>
        <w:rPr>
          <w:rFonts w:ascii="Times New Roman" w:hAnsi="Times New Roman"/>
          <w:b/>
        </w:rPr>
        <w:t xml:space="preserve">Таблица </w:t>
      </w:r>
      <w:r>
        <w:rPr>
          <w:rFonts w:ascii="Times New Roman" w:hAnsi="Times New Roman"/>
          <w:b/>
        </w:rPr>
        <w:t>1</w:t>
      </w:r>
      <w:r>
        <w:rPr>
          <w:rFonts w:ascii="Times New Roman" w:hAnsi="Times New Roman"/>
          <w:b/>
        </w:rPr>
        <w:br/>
        <w:t>(без учёта НДС)</w:t>
      </w:r>
    </w:p>
    <w:tbl>
      <w:tblPr>
        <w:tblW w:w="14565" w:type="dxa"/>
        <w:jc w:val="left"/>
        <w:tblInd w:w="105" w:type="dxa"/>
        <w:tblLayout w:type="fixed"/>
        <w:tblCellMar>
          <w:top w:w="0" w:type="dxa"/>
          <w:left w:w="108" w:type="dxa"/>
          <w:bottom w:w="0" w:type="dxa"/>
          <w:right w:w="108" w:type="dxa"/>
        </w:tblCellMar>
        <w:tblLook w:noVBand="0" w:val="0000" w:noHBand="0" w:lastColumn="0" w:firstColumn="0" w:lastRow="0" w:firstRow="0"/>
      </w:tblPr>
      <w:tblGrid>
        <w:gridCol w:w="3960"/>
        <w:gridCol w:w="1650"/>
        <w:gridCol w:w="1920"/>
        <w:gridCol w:w="1650"/>
        <w:gridCol w:w="1470"/>
        <w:gridCol w:w="1875"/>
        <w:gridCol w:w="2040"/>
      </w:tblGrid>
      <w:tr>
        <w:trPr/>
        <w:tc>
          <w:tcPr>
            <w:tcW w:w="3960" w:type="dxa"/>
            <w:vMerge w:val="restart"/>
            <w:tcBorders>
              <w:top w:val="single" w:sz="4" w:space="0" w:color="000000"/>
              <w:left w:val="single" w:sz="4" w:space="0" w:color="000000"/>
              <w:bottom w:val="single" w:sz="4" w:space="0" w:color="000000"/>
            </w:tcBorders>
          </w:tcPr>
          <w:p>
            <w:pPr>
              <w:pStyle w:val="Style25"/>
              <w:widowControl w:val="false"/>
              <w:jc w:val="center"/>
              <w:rPr>
                <w:sz w:val="18"/>
                <w:szCs w:val="18"/>
              </w:rPr>
            </w:pPr>
            <w:r>
              <w:rPr>
                <w:sz w:val="18"/>
                <w:szCs w:val="18"/>
              </w:rPr>
              <w:t>Наименование сетевых организаций</w:t>
            </w:r>
          </w:p>
        </w:tc>
        <w:tc>
          <w:tcPr>
            <w:tcW w:w="5220" w:type="dxa"/>
            <w:gridSpan w:val="3"/>
            <w:tcBorders>
              <w:top w:val="single" w:sz="4" w:space="0" w:color="000000"/>
              <w:left w:val="single" w:sz="4" w:space="0" w:color="000000"/>
            </w:tcBorders>
          </w:tcPr>
          <w:p>
            <w:pPr>
              <w:pStyle w:val="Style25"/>
              <w:widowControl w:val="false"/>
              <w:jc w:val="center"/>
              <w:rPr>
                <w:sz w:val="18"/>
                <w:szCs w:val="18"/>
              </w:rPr>
            </w:pPr>
            <w:r>
              <w:rPr>
                <w:sz w:val="18"/>
                <w:szCs w:val="18"/>
              </w:rPr>
              <w:t>1 полугодие</w:t>
            </w:r>
          </w:p>
        </w:tc>
        <w:tc>
          <w:tcPr>
            <w:tcW w:w="5385" w:type="dxa"/>
            <w:gridSpan w:val="3"/>
            <w:tcBorders>
              <w:top w:val="single" w:sz="4" w:space="0" w:color="000000"/>
              <w:left w:val="single" w:sz="4" w:space="0" w:color="000000"/>
              <w:right w:val="single" w:sz="4" w:space="0" w:color="000000"/>
            </w:tcBorders>
          </w:tcPr>
          <w:p>
            <w:pPr>
              <w:pStyle w:val="Style25"/>
              <w:widowControl w:val="false"/>
              <w:jc w:val="center"/>
              <w:rPr>
                <w:sz w:val="18"/>
                <w:szCs w:val="18"/>
              </w:rPr>
            </w:pPr>
            <w:r>
              <w:rPr>
                <w:sz w:val="18"/>
                <w:szCs w:val="18"/>
              </w:rPr>
              <w:t>2 полугодие</w:t>
            </w:r>
          </w:p>
        </w:tc>
      </w:tr>
      <w:tr>
        <w:trPr/>
        <w:tc>
          <w:tcPr>
            <w:tcW w:w="3960" w:type="dxa"/>
            <w:vMerge w:val="continue"/>
            <w:tcBorders>
              <w:top w:val="single" w:sz="4" w:space="0" w:color="000000"/>
              <w:left w:val="single" w:sz="4" w:space="0" w:color="000000"/>
              <w:bottom w:val="single" w:sz="4" w:space="0" w:color="000000"/>
              <w:right w:val="single" w:sz="4" w:space="0" w:color="000000"/>
            </w:tcBorders>
          </w:tcPr>
          <w:p>
            <w:pPr>
              <w:pStyle w:val="Style25"/>
              <w:widowControl w:val="false"/>
              <w:rPr>
                <w:sz w:val="18"/>
                <w:szCs w:val="18"/>
              </w:rPr>
            </w:pPr>
            <w:r>
              <w:rPr>
                <w:sz w:val="18"/>
                <w:szCs w:val="18"/>
              </w:rPr>
            </w:r>
          </w:p>
        </w:tc>
        <w:tc>
          <w:tcPr>
            <w:tcW w:w="3570" w:type="dxa"/>
            <w:gridSpan w:val="2"/>
            <w:tcBorders>
              <w:top w:val="single" w:sz="4" w:space="0" w:color="000000"/>
              <w:left w:val="single" w:sz="4" w:space="0" w:color="000000"/>
            </w:tcBorders>
          </w:tcPr>
          <w:p>
            <w:pPr>
              <w:pStyle w:val="Style25"/>
              <w:widowControl w:val="false"/>
              <w:jc w:val="center"/>
              <w:rPr>
                <w:sz w:val="18"/>
                <w:szCs w:val="18"/>
              </w:rPr>
            </w:pPr>
            <w:r>
              <w:rPr>
                <w:sz w:val="18"/>
                <w:szCs w:val="18"/>
              </w:rPr>
              <w:t>Двухставочный тариф</w:t>
            </w:r>
          </w:p>
        </w:tc>
        <w:tc>
          <w:tcPr>
            <w:tcW w:w="1650" w:type="dxa"/>
            <w:vMerge w:val="restart"/>
            <w:tcBorders>
              <w:top w:val="single" w:sz="4" w:space="0" w:color="000000"/>
              <w:left w:val="single" w:sz="4" w:space="0" w:color="000000"/>
              <w:bottom w:val="single" w:sz="4" w:space="0" w:color="000000"/>
            </w:tcBorders>
          </w:tcPr>
          <w:p>
            <w:pPr>
              <w:pStyle w:val="Style25"/>
              <w:widowControl w:val="false"/>
              <w:jc w:val="center"/>
              <w:rPr>
                <w:sz w:val="18"/>
                <w:szCs w:val="18"/>
              </w:rPr>
            </w:pPr>
            <w:r>
              <w:rPr>
                <w:sz w:val="18"/>
                <w:szCs w:val="18"/>
              </w:rPr>
              <w:t>Одноставочный тариф</w:t>
            </w:r>
          </w:p>
        </w:tc>
        <w:tc>
          <w:tcPr>
            <w:tcW w:w="3345" w:type="dxa"/>
            <w:gridSpan w:val="2"/>
            <w:tcBorders>
              <w:top w:val="single" w:sz="4" w:space="0" w:color="000000"/>
              <w:left w:val="single" w:sz="4" w:space="0" w:color="000000"/>
            </w:tcBorders>
          </w:tcPr>
          <w:p>
            <w:pPr>
              <w:pStyle w:val="Style25"/>
              <w:widowControl w:val="false"/>
              <w:jc w:val="center"/>
              <w:rPr>
                <w:sz w:val="18"/>
                <w:szCs w:val="18"/>
              </w:rPr>
            </w:pPr>
            <w:r>
              <w:rPr>
                <w:sz w:val="18"/>
                <w:szCs w:val="18"/>
              </w:rPr>
              <w:t>Двухставочный тариф</w:t>
            </w:r>
          </w:p>
        </w:tc>
        <w:tc>
          <w:tcPr>
            <w:tcW w:w="2040" w:type="dxa"/>
            <w:vMerge w:val="restart"/>
            <w:tcBorders>
              <w:top w:val="single" w:sz="4" w:space="0" w:color="000000"/>
              <w:left w:val="single" w:sz="4" w:space="0" w:color="000000"/>
              <w:bottom w:val="single" w:sz="4" w:space="0" w:color="000000"/>
              <w:right w:val="single" w:sz="4" w:space="0" w:color="000000"/>
            </w:tcBorders>
          </w:tcPr>
          <w:p>
            <w:pPr>
              <w:pStyle w:val="Style25"/>
              <w:widowControl w:val="false"/>
              <w:jc w:val="center"/>
              <w:rPr>
                <w:sz w:val="18"/>
                <w:szCs w:val="18"/>
              </w:rPr>
            </w:pPr>
            <w:r>
              <w:rPr>
                <w:sz w:val="18"/>
                <w:szCs w:val="18"/>
              </w:rPr>
              <w:t>Одноставочный тариф</w:t>
            </w:r>
          </w:p>
        </w:tc>
      </w:tr>
      <w:tr>
        <w:trPr/>
        <w:tc>
          <w:tcPr>
            <w:tcW w:w="3960" w:type="dxa"/>
            <w:vMerge w:val="continue"/>
            <w:tcBorders>
              <w:top w:val="single" w:sz="4" w:space="0" w:color="000000"/>
              <w:left w:val="single" w:sz="4" w:space="0" w:color="000000"/>
              <w:bottom w:val="single" w:sz="4" w:space="0" w:color="000000"/>
              <w:right w:val="single" w:sz="4" w:space="0" w:color="000000"/>
            </w:tcBorders>
          </w:tcPr>
          <w:p>
            <w:pPr>
              <w:pStyle w:val="Style25"/>
              <w:widowControl w:val="false"/>
              <w:rPr>
                <w:sz w:val="18"/>
                <w:szCs w:val="18"/>
              </w:rPr>
            </w:pPr>
            <w:r>
              <w:rPr>
                <w:sz w:val="18"/>
                <w:szCs w:val="18"/>
              </w:rPr>
            </w:r>
          </w:p>
        </w:tc>
        <w:tc>
          <w:tcPr>
            <w:tcW w:w="1650" w:type="dxa"/>
            <w:tcBorders>
              <w:top w:val="single" w:sz="4" w:space="0" w:color="000000"/>
              <w:left w:val="single" w:sz="4" w:space="0" w:color="000000"/>
            </w:tcBorders>
          </w:tcPr>
          <w:p>
            <w:pPr>
              <w:pStyle w:val="Style25"/>
              <w:widowControl w:val="false"/>
              <w:jc w:val="center"/>
              <w:rPr>
                <w:sz w:val="18"/>
                <w:szCs w:val="18"/>
              </w:rPr>
            </w:pPr>
            <w:r>
              <w:rPr>
                <w:sz w:val="18"/>
                <w:szCs w:val="18"/>
              </w:rPr>
              <w:t>ставка за содержание электрических сетей</w:t>
            </w:r>
          </w:p>
        </w:tc>
        <w:tc>
          <w:tcPr>
            <w:tcW w:w="1920" w:type="dxa"/>
            <w:tcBorders>
              <w:top w:val="single" w:sz="4" w:space="0" w:color="000000"/>
              <w:left w:val="single" w:sz="4" w:space="0" w:color="000000"/>
            </w:tcBorders>
          </w:tcPr>
          <w:p>
            <w:pPr>
              <w:pStyle w:val="Style25"/>
              <w:widowControl w:val="false"/>
              <w:jc w:val="center"/>
              <w:rPr>
                <w:sz w:val="18"/>
                <w:szCs w:val="18"/>
              </w:rPr>
            </w:pPr>
            <w:r>
              <w:rPr>
                <w:sz w:val="18"/>
                <w:szCs w:val="18"/>
              </w:rPr>
              <w:t>ставка на оплату технологического расхода (потерь)</w:t>
            </w:r>
          </w:p>
        </w:tc>
        <w:tc>
          <w:tcPr>
            <w:tcW w:w="1650" w:type="dxa"/>
            <w:vMerge w:val="continue"/>
            <w:tcBorders>
              <w:top w:val="single" w:sz="4" w:space="0" w:color="000000"/>
              <w:left w:val="single" w:sz="4" w:space="0" w:color="000000"/>
              <w:bottom w:val="single" w:sz="4" w:space="0" w:color="000000"/>
              <w:right w:val="single" w:sz="4" w:space="0" w:color="000000"/>
            </w:tcBorders>
          </w:tcPr>
          <w:p>
            <w:pPr>
              <w:pStyle w:val="Style25"/>
              <w:widowControl w:val="false"/>
              <w:rPr>
                <w:sz w:val="18"/>
                <w:szCs w:val="18"/>
              </w:rPr>
            </w:pPr>
            <w:r>
              <w:rPr>
                <w:sz w:val="18"/>
                <w:szCs w:val="18"/>
              </w:rPr>
            </w:r>
          </w:p>
        </w:tc>
        <w:tc>
          <w:tcPr>
            <w:tcW w:w="1470" w:type="dxa"/>
            <w:tcBorders>
              <w:top w:val="single" w:sz="4" w:space="0" w:color="000000"/>
              <w:left w:val="single" w:sz="4" w:space="0" w:color="000000"/>
            </w:tcBorders>
          </w:tcPr>
          <w:p>
            <w:pPr>
              <w:pStyle w:val="Style25"/>
              <w:widowControl w:val="false"/>
              <w:jc w:val="center"/>
              <w:rPr>
                <w:sz w:val="18"/>
                <w:szCs w:val="18"/>
              </w:rPr>
            </w:pPr>
            <w:r>
              <w:rPr>
                <w:sz w:val="18"/>
                <w:szCs w:val="18"/>
              </w:rPr>
              <w:t>ставка за содержание электрических сетей</w:t>
            </w:r>
          </w:p>
        </w:tc>
        <w:tc>
          <w:tcPr>
            <w:tcW w:w="1875" w:type="dxa"/>
            <w:tcBorders>
              <w:top w:val="single" w:sz="4" w:space="0" w:color="000000"/>
              <w:left w:val="single" w:sz="4" w:space="0" w:color="000000"/>
            </w:tcBorders>
          </w:tcPr>
          <w:p>
            <w:pPr>
              <w:pStyle w:val="Style25"/>
              <w:widowControl w:val="false"/>
              <w:jc w:val="center"/>
              <w:rPr>
                <w:sz w:val="18"/>
                <w:szCs w:val="18"/>
              </w:rPr>
            </w:pPr>
            <w:r>
              <w:rPr>
                <w:sz w:val="18"/>
                <w:szCs w:val="18"/>
              </w:rPr>
              <w:t>ставка на оплату технологического расхода (потерь)</w:t>
            </w:r>
          </w:p>
        </w:tc>
        <w:tc>
          <w:tcPr>
            <w:tcW w:w="2040" w:type="dxa"/>
            <w:vMerge w:val="continue"/>
            <w:tcBorders>
              <w:top w:val="single" w:sz="4" w:space="0" w:color="000000"/>
              <w:left w:val="single" w:sz="4" w:space="0" w:color="000000"/>
              <w:bottom w:val="single" w:sz="4" w:space="0" w:color="000000"/>
              <w:right w:val="single" w:sz="4" w:space="0" w:color="000000"/>
            </w:tcBorders>
          </w:tcPr>
          <w:p>
            <w:pPr>
              <w:pStyle w:val="Style25"/>
              <w:widowControl w:val="false"/>
              <w:rPr>
                <w:sz w:val="18"/>
                <w:szCs w:val="18"/>
              </w:rPr>
            </w:pPr>
            <w:r>
              <w:rPr>
                <w:sz w:val="18"/>
                <w:szCs w:val="18"/>
              </w:rPr>
            </w:r>
          </w:p>
        </w:tc>
      </w:tr>
      <w:tr>
        <w:trPr/>
        <w:tc>
          <w:tcPr>
            <w:tcW w:w="3960" w:type="dxa"/>
            <w:vMerge w:val="continue"/>
            <w:tcBorders>
              <w:top w:val="single" w:sz="4" w:space="0" w:color="000000"/>
              <w:left w:val="single" w:sz="4" w:space="0" w:color="000000"/>
              <w:bottom w:val="single" w:sz="4" w:space="0" w:color="000000"/>
              <w:right w:val="single" w:sz="4" w:space="0" w:color="000000"/>
            </w:tcBorders>
          </w:tcPr>
          <w:p>
            <w:pPr>
              <w:pStyle w:val="Style25"/>
              <w:widowControl w:val="false"/>
              <w:rPr>
                <w:sz w:val="18"/>
                <w:szCs w:val="18"/>
              </w:rPr>
            </w:pPr>
            <w:r>
              <w:rPr>
                <w:sz w:val="18"/>
                <w:szCs w:val="18"/>
              </w:rPr>
            </w:r>
          </w:p>
        </w:tc>
        <w:tc>
          <w:tcPr>
            <w:tcW w:w="1650" w:type="dxa"/>
            <w:tcBorders>
              <w:top w:val="single" w:sz="4" w:space="0" w:color="000000"/>
              <w:left w:val="single" w:sz="4" w:space="0" w:color="000000"/>
            </w:tcBorders>
          </w:tcPr>
          <w:p>
            <w:pPr>
              <w:pStyle w:val="Style25"/>
              <w:widowControl w:val="false"/>
              <w:jc w:val="center"/>
              <w:rPr>
                <w:sz w:val="18"/>
                <w:szCs w:val="18"/>
              </w:rPr>
            </w:pPr>
            <w:r>
              <w:rPr>
                <w:sz w:val="18"/>
                <w:szCs w:val="18"/>
              </w:rPr>
              <w:t>руб./МВт.мес.</w:t>
            </w:r>
          </w:p>
        </w:tc>
        <w:tc>
          <w:tcPr>
            <w:tcW w:w="1920" w:type="dxa"/>
            <w:tcBorders>
              <w:top w:val="single" w:sz="4" w:space="0" w:color="000000"/>
              <w:left w:val="single" w:sz="4" w:space="0" w:color="000000"/>
            </w:tcBorders>
          </w:tcPr>
          <w:p>
            <w:pPr>
              <w:pStyle w:val="Style25"/>
              <w:widowControl w:val="false"/>
              <w:jc w:val="center"/>
              <w:rPr>
                <w:sz w:val="18"/>
                <w:szCs w:val="18"/>
              </w:rPr>
            </w:pPr>
            <w:r>
              <w:rPr>
                <w:sz w:val="18"/>
                <w:szCs w:val="18"/>
              </w:rPr>
              <w:t>руб./МВт.ч</w:t>
            </w:r>
          </w:p>
        </w:tc>
        <w:tc>
          <w:tcPr>
            <w:tcW w:w="1650" w:type="dxa"/>
            <w:tcBorders>
              <w:top w:val="single" w:sz="4" w:space="0" w:color="000000"/>
              <w:left w:val="single" w:sz="4" w:space="0" w:color="000000"/>
            </w:tcBorders>
          </w:tcPr>
          <w:p>
            <w:pPr>
              <w:pStyle w:val="Style25"/>
              <w:widowControl w:val="false"/>
              <w:jc w:val="center"/>
              <w:rPr>
                <w:sz w:val="18"/>
                <w:szCs w:val="18"/>
              </w:rPr>
            </w:pPr>
            <w:r>
              <w:rPr>
                <w:sz w:val="18"/>
                <w:szCs w:val="18"/>
              </w:rPr>
              <w:t>руб./кВт.ч</w:t>
            </w:r>
          </w:p>
        </w:tc>
        <w:tc>
          <w:tcPr>
            <w:tcW w:w="1470" w:type="dxa"/>
            <w:tcBorders>
              <w:top w:val="single" w:sz="4" w:space="0" w:color="000000"/>
              <w:left w:val="single" w:sz="4" w:space="0" w:color="000000"/>
            </w:tcBorders>
          </w:tcPr>
          <w:p>
            <w:pPr>
              <w:pStyle w:val="Style25"/>
              <w:widowControl w:val="false"/>
              <w:jc w:val="center"/>
              <w:rPr>
                <w:sz w:val="18"/>
                <w:szCs w:val="18"/>
              </w:rPr>
            </w:pPr>
            <w:r>
              <w:rPr>
                <w:sz w:val="18"/>
                <w:szCs w:val="18"/>
              </w:rPr>
              <w:t>руб./МВт.мес.</w:t>
            </w:r>
          </w:p>
        </w:tc>
        <w:tc>
          <w:tcPr>
            <w:tcW w:w="1875" w:type="dxa"/>
            <w:tcBorders>
              <w:top w:val="single" w:sz="4" w:space="0" w:color="000000"/>
              <w:left w:val="single" w:sz="4" w:space="0" w:color="000000"/>
            </w:tcBorders>
          </w:tcPr>
          <w:p>
            <w:pPr>
              <w:pStyle w:val="Style25"/>
              <w:widowControl w:val="false"/>
              <w:jc w:val="center"/>
              <w:rPr>
                <w:sz w:val="18"/>
                <w:szCs w:val="18"/>
              </w:rPr>
            </w:pPr>
            <w:r>
              <w:rPr>
                <w:sz w:val="18"/>
                <w:szCs w:val="18"/>
              </w:rPr>
              <w:t>руб./МВт.ч</w:t>
            </w:r>
          </w:p>
        </w:tc>
        <w:tc>
          <w:tcPr>
            <w:tcW w:w="2040" w:type="dxa"/>
            <w:tcBorders>
              <w:top w:val="single" w:sz="4" w:space="0" w:color="000000"/>
              <w:left w:val="single" w:sz="4" w:space="0" w:color="000000"/>
              <w:right w:val="single" w:sz="4" w:space="0" w:color="000000"/>
            </w:tcBorders>
          </w:tcPr>
          <w:p>
            <w:pPr>
              <w:pStyle w:val="Style25"/>
              <w:widowControl w:val="false"/>
              <w:jc w:val="center"/>
              <w:rPr>
                <w:sz w:val="18"/>
                <w:szCs w:val="18"/>
              </w:rPr>
            </w:pPr>
            <w:r>
              <w:rPr>
                <w:sz w:val="18"/>
                <w:szCs w:val="18"/>
              </w:rPr>
              <w:t>руб./кВт.ч</w:t>
            </w:r>
          </w:p>
        </w:tc>
      </w:tr>
      <w:tr>
        <w:trPr/>
        <w:tc>
          <w:tcPr>
            <w:tcW w:w="3960" w:type="dxa"/>
            <w:tcBorders>
              <w:top w:val="single" w:sz="4" w:space="0" w:color="000000"/>
              <w:left w:val="single" w:sz="4" w:space="0" w:color="000000"/>
            </w:tcBorders>
          </w:tcPr>
          <w:p>
            <w:pPr>
              <w:pStyle w:val="Style25"/>
              <w:widowControl w:val="false"/>
              <w:jc w:val="center"/>
              <w:rPr>
                <w:sz w:val="18"/>
                <w:szCs w:val="18"/>
              </w:rPr>
            </w:pPr>
            <w:r>
              <w:rPr>
                <w:sz w:val="18"/>
                <w:szCs w:val="18"/>
              </w:rPr>
              <w:t>1</w:t>
            </w:r>
          </w:p>
        </w:tc>
        <w:tc>
          <w:tcPr>
            <w:tcW w:w="1650" w:type="dxa"/>
            <w:tcBorders>
              <w:top w:val="single" w:sz="4" w:space="0" w:color="000000"/>
              <w:left w:val="single" w:sz="4" w:space="0" w:color="000000"/>
            </w:tcBorders>
          </w:tcPr>
          <w:p>
            <w:pPr>
              <w:pStyle w:val="Style25"/>
              <w:widowControl w:val="false"/>
              <w:jc w:val="center"/>
              <w:rPr>
                <w:sz w:val="18"/>
                <w:szCs w:val="18"/>
              </w:rPr>
            </w:pPr>
            <w:r>
              <w:rPr>
                <w:sz w:val="18"/>
                <w:szCs w:val="18"/>
              </w:rPr>
              <w:t>2</w:t>
            </w:r>
          </w:p>
        </w:tc>
        <w:tc>
          <w:tcPr>
            <w:tcW w:w="1920" w:type="dxa"/>
            <w:tcBorders>
              <w:top w:val="single" w:sz="4" w:space="0" w:color="000000"/>
              <w:left w:val="single" w:sz="4" w:space="0" w:color="000000"/>
            </w:tcBorders>
          </w:tcPr>
          <w:p>
            <w:pPr>
              <w:pStyle w:val="Style25"/>
              <w:widowControl w:val="false"/>
              <w:jc w:val="center"/>
              <w:rPr>
                <w:sz w:val="18"/>
                <w:szCs w:val="18"/>
              </w:rPr>
            </w:pPr>
            <w:r>
              <w:rPr>
                <w:sz w:val="18"/>
                <w:szCs w:val="18"/>
              </w:rPr>
              <w:t>3</w:t>
            </w:r>
          </w:p>
        </w:tc>
        <w:tc>
          <w:tcPr>
            <w:tcW w:w="1650" w:type="dxa"/>
            <w:tcBorders>
              <w:top w:val="single" w:sz="4" w:space="0" w:color="000000"/>
              <w:left w:val="single" w:sz="4" w:space="0" w:color="000000"/>
            </w:tcBorders>
          </w:tcPr>
          <w:p>
            <w:pPr>
              <w:pStyle w:val="Style25"/>
              <w:widowControl w:val="false"/>
              <w:jc w:val="center"/>
              <w:rPr>
                <w:sz w:val="18"/>
                <w:szCs w:val="18"/>
              </w:rPr>
            </w:pPr>
            <w:r>
              <w:rPr>
                <w:sz w:val="18"/>
                <w:szCs w:val="18"/>
              </w:rPr>
              <w:t>4</w:t>
            </w:r>
          </w:p>
        </w:tc>
        <w:tc>
          <w:tcPr>
            <w:tcW w:w="1470" w:type="dxa"/>
            <w:tcBorders>
              <w:top w:val="single" w:sz="4" w:space="0" w:color="000000"/>
              <w:left w:val="single" w:sz="4" w:space="0" w:color="000000"/>
            </w:tcBorders>
          </w:tcPr>
          <w:p>
            <w:pPr>
              <w:pStyle w:val="Style25"/>
              <w:widowControl w:val="false"/>
              <w:jc w:val="center"/>
              <w:rPr>
                <w:sz w:val="18"/>
                <w:szCs w:val="18"/>
              </w:rPr>
            </w:pPr>
            <w:r>
              <w:rPr>
                <w:sz w:val="18"/>
                <w:szCs w:val="18"/>
              </w:rPr>
              <w:t>5</w:t>
            </w:r>
          </w:p>
        </w:tc>
        <w:tc>
          <w:tcPr>
            <w:tcW w:w="1875" w:type="dxa"/>
            <w:tcBorders>
              <w:top w:val="single" w:sz="4" w:space="0" w:color="000000"/>
              <w:left w:val="single" w:sz="4" w:space="0" w:color="000000"/>
            </w:tcBorders>
          </w:tcPr>
          <w:p>
            <w:pPr>
              <w:pStyle w:val="Style25"/>
              <w:widowControl w:val="false"/>
              <w:jc w:val="center"/>
              <w:rPr>
                <w:sz w:val="18"/>
                <w:szCs w:val="18"/>
              </w:rPr>
            </w:pPr>
            <w:r>
              <w:rPr>
                <w:sz w:val="18"/>
                <w:szCs w:val="18"/>
              </w:rPr>
              <w:t>6</w:t>
            </w:r>
          </w:p>
        </w:tc>
        <w:tc>
          <w:tcPr>
            <w:tcW w:w="2040" w:type="dxa"/>
            <w:tcBorders>
              <w:top w:val="single" w:sz="4" w:space="0" w:color="000000"/>
              <w:left w:val="single" w:sz="4" w:space="0" w:color="000000"/>
              <w:right w:val="single" w:sz="4" w:space="0" w:color="000000"/>
            </w:tcBorders>
          </w:tcPr>
          <w:p>
            <w:pPr>
              <w:pStyle w:val="Style25"/>
              <w:widowControl w:val="false"/>
              <w:jc w:val="center"/>
              <w:rPr>
                <w:sz w:val="18"/>
                <w:szCs w:val="18"/>
              </w:rPr>
            </w:pPr>
            <w:r>
              <w:rPr>
                <w:sz w:val="18"/>
                <w:szCs w:val="18"/>
              </w:rPr>
              <w:t>7</w:t>
            </w:r>
          </w:p>
        </w:tc>
      </w:tr>
      <w:tr>
        <w:trPr/>
        <w:tc>
          <w:tcPr>
            <w:tcW w:w="3960" w:type="dxa"/>
            <w:tcBorders>
              <w:top w:val="single" w:sz="4" w:space="0" w:color="000000"/>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АО « Саратовское предприятие городских электрических сетей»</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349681,59</w:t>
            </w:r>
          </w:p>
        </w:tc>
        <w:tc>
          <w:tcPr>
            <w:tcW w:w="192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652,34</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1,27</w:t>
            </w:r>
          </w:p>
        </w:tc>
        <w:tc>
          <w:tcPr>
            <w:tcW w:w="147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349681,59</w:t>
            </w:r>
          </w:p>
        </w:tc>
        <w:tc>
          <w:tcPr>
            <w:tcW w:w="1875"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652,34</w:t>
            </w:r>
          </w:p>
        </w:tc>
        <w:tc>
          <w:tcPr>
            <w:tcW w:w="2040" w:type="dxa"/>
            <w:tcBorders>
              <w:top w:val="single" w:sz="4" w:space="0" w:color="000000"/>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1,27</w:t>
            </w:r>
          </w:p>
        </w:tc>
      </w:tr>
      <w:tr>
        <w:trPr/>
        <w:tc>
          <w:tcPr>
            <w:tcW w:w="3960" w:type="dxa"/>
            <w:tcBorders>
              <w:top w:val="single" w:sz="4" w:space="0" w:color="000000"/>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АО «Облкоммунэнерго»</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530252,7</w:t>
            </w:r>
          </w:p>
        </w:tc>
        <w:tc>
          <w:tcPr>
            <w:tcW w:w="192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742,22</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1,73</w:t>
            </w:r>
          </w:p>
        </w:tc>
        <w:tc>
          <w:tcPr>
            <w:tcW w:w="147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530252,7</w:t>
            </w:r>
          </w:p>
        </w:tc>
        <w:tc>
          <w:tcPr>
            <w:tcW w:w="1875"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742,22</w:t>
            </w:r>
          </w:p>
        </w:tc>
        <w:tc>
          <w:tcPr>
            <w:tcW w:w="2040" w:type="dxa"/>
            <w:tcBorders>
              <w:top w:val="single" w:sz="4" w:space="0" w:color="000000"/>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1,73</w:t>
            </w:r>
          </w:p>
        </w:tc>
      </w:tr>
      <w:tr>
        <w:trPr/>
        <w:tc>
          <w:tcPr>
            <w:tcW w:w="3960" w:type="dxa"/>
            <w:tcBorders>
              <w:top w:val="single" w:sz="4" w:space="0" w:color="000000"/>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Приволжская дирекция по энергообеспечению- структурное подразделение Трансэнерго – филиала ОАО «РЖД»</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433721,32</w:t>
            </w:r>
          </w:p>
        </w:tc>
        <w:tc>
          <w:tcPr>
            <w:tcW w:w="192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516,05</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1,64</w:t>
            </w:r>
          </w:p>
        </w:tc>
        <w:tc>
          <w:tcPr>
            <w:tcW w:w="147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433721,32</w:t>
            </w:r>
          </w:p>
        </w:tc>
        <w:tc>
          <w:tcPr>
            <w:tcW w:w="1875"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516,05</w:t>
            </w:r>
          </w:p>
        </w:tc>
        <w:tc>
          <w:tcPr>
            <w:tcW w:w="2040" w:type="dxa"/>
            <w:tcBorders>
              <w:top w:val="single" w:sz="4" w:space="0" w:color="000000"/>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1,64</w:t>
            </w:r>
          </w:p>
        </w:tc>
      </w:tr>
      <w:tr>
        <w:trPr/>
        <w:tc>
          <w:tcPr>
            <w:tcW w:w="3960" w:type="dxa"/>
            <w:tcBorders>
              <w:top w:val="single" w:sz="4" w:space="0" w:color="000000"/>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Юго-</w:t>
              <w:softHyphen/>
              <w:t>Восточная дирекция по энергообеспечению- структурное подразделение Трансэнерго – филиала ОАО «РЖД»</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869 050,56</w:t>
            </w:r>
          </w:p>
        </w:tc>
        <w:tc>
          <w:tcPr>
            <w:tcW w:w="192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624,4</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2,08</w:t>
            </w:r>
          </w:p>
        </w:tc>
        <w:tc>
          <w:tcPr>
            <w:tcW w:w="147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869 050,56</w:t>
            </w:r>
          </w:p>
        </w:tc>
        <w:tc>
          <w:tcPr>
            <w:tcW w:w="1875"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624,4</w:t>
            </w:r>
          </w:p>
        </w:tc>
        <w:tc>
          <w:tcPr>
            <w:tcW w:w="2040" w:type="dxa"/>
            <w:tcBorders>
              <w:top w:val="single" w:sz="4" w:space="0" w:color="000000"/>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2,08</w:t>
            </w:r>
          </w:p>
        </w:tc>
      </w:tr>
      <w:tr>
        <w:trPr/>
        <w:tc>
          <w:tcPr>
            <w:tcW w:w="3960" w:type="dxa"/>
            <w:tcBorders>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ООО «Промэнерго»</w:t>
            </w:r>
          </w:p>
        </w:tc>
        <w:tc>
          <w:tcPr>
            <w:tcW w:w="1650"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189148,03</w:t>
            </w:r>
          </w:p>
        </w:tc>
        <w:tc>
          <w:tcPr>
            <w:tcW w:w="1920"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225,87</w:t>
            </w:r>
          </w:p>
        </w:tc>
        <w:tc>
          <w:tcPr>
            <w:tcW w:w="1650"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1,2</w:t>
            </w:r>
          </w:p>
        </w:tc>
        <w:tc>
          <w:tcPr>
            <w:tcW w:w="1470"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189148,03</w:t>
            </w:r>
          </w:p>
        </w:tc>
        <w:tc>
          <w:tcPr>
            <w:tcW w:w="1875"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225,87</w:t>
            </w:r>
          </w:p>
        </w:tc>
        <w:tc>
          <w:tcPr>
            <w:tcW w:w="2040" w:type="dxa"/>
            <w:tcBorders>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1,2</w:t>
            </w:r>
          </w:p>
        </w:tc>
      </w:tr>
      <w:tr>
        <w:trPr/>
        <w:tc>
          <w:tcPr>
            <w:tcW w:w="3960" w:type="dxa"/>
            <w:tcBorders>
              <w:top w:val="single" w:sz="4" w:space="0" w:color="000000"/>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АО «Независимая электросетевая компания»</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286377,96</w:t>
            </w:r>
          </w:p>
        </w:tc>
        <w:tc>
          <w:tcPr>
            <w:tcW w:w="192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349,01</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1,07</w:t>
            </w:r>
          </w:p>
        </w:tc>
        <w:tc>
          <w:tcPr>
            <w:tcW w:w="147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286377,96</w:t>
            </w:r>
          </w:p>
        </w:tc>
        <w:tc>
          <w:tcPr>
            <w:tcW w:w="1875"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349,01</w:t>
            </w:r>
          </w:p>
        </w:tc>
        <w:tc>
          <w:tcPr>
            <w:tcW w:w="2040" w:type="dxa"/>
            <w:tcBorders>
              <w:top w:val="single" w:sz="4" w:space="0" w:color="000000"/>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1,07</w:t>
            </w:r>
          </w:p>
        </w:tc>
      </w:tr>
      <w:tr>
        <w:trPr/>
        <w:tc>
          <w:tcPr>
            <w:tcW w:w="3960" w:type="dxa"/>
            <w:tcBorders>
              <w:top w:val="single" w:sz="4" w:space="0" w:color="000000"/>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ООО «Территориальная электросетевая компания»</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348707,89</w:t>
            </w:r>
          </w:p>
        </w:tc>
        <w:tc>
          <w:tcPr>
            <w:tcW w:w="192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287,03</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0,98</w:t>
            </w:r>
          </w:p>
        </w:tc>
        <w:tc>
          <w:tcPr>
            <w:tcW w:w="147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348707,89</w:t>
            </w:r>
          </w:p>
        </w:tc>
        <w:tc>
          <w:tcPr>
            <w:tcW w:w="1875"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287,03</w:t>
            </w:r>
          </w:p>
        </w:tc>
        <w:tc>
          <w:tcPr>
            <w:tcW w:w="2040" w:type="dxa"/>
            <w:tcBorders>
              <w:top w:val="single" w:sz="4" w:space="0" w:color="000000"/>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0,98</w:t>
            </w:r>
          </w:p>
        </w:tc>
      </w:tr>
      <w:tr>
        <w:trPr/>
        <w:tc>
          <w:tcPr>
            <w:tcW w:w="3960" w:type="dxa"/>
            <w:tcBorders>
              <w:top w:val="single" w:sz="4" w:space="0" w:color="000000"/>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ООО «Элтрейт»</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206818,62</w:t>
            </w:r>
          </w:p>
        </w:tc>
        <w:tc>
          <w:tcPr>
            <w:tcW w:w="192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265</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1,51</w:t>
            </w:r>
          </w:p>
        </w:tc>
        <w:tc>
          <w:tcPr>
            <w:tcW w:w="147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206818,62</w:t>
            </w:r>
          </w:p>
        </w:tc>
        <w:tc>
          <w:tcPr>
            <w:tcW w:w="1875"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265</w:t>
            </w:r>
          </w:p>
        </w:tc>
        <w:tc>
          <w:tcPr>
            <w:tcW w:w="2040" w:type="dxa"/>
            <w:tcBorders>
              <w:top w:val="single" w:sz="4" w:space="0" w:color="000000"/>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1,51</w:t>
            </w:r>
          </w:p>
        </w:tc>
      </w:tr>
      <w:tr>
        <w:trPr/>
        <w:tc>
          <w:tcPr>
            <w:tcW w:w="3960" w:type="dxa"/>
            <w:tcBorders>
              <w:top w:val="single" w:sz="4" w:space="0" w:color="000000"/>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Филиал «Уральский» АО «Оборонэнерго»</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569294,27</w:t>
            </w:r>
          </w:p>
        </w:tc>
        <w:tc>
          <w:tcPr>
            <w:tcW w:w="192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331,99</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1,34</w:t>
            </w:r>
          </w:p>
        </w:tc>
        <w:tc>
          <w:tcPr>
            <w:tcW w:w="147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569294,27</w:t>
            </w:r>
          </w:p>
        </w:tc>
        <w:tc>
          <w:tcPr>
            <w:tcW w:w="1875"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331,99</w:t>
            </w:r>
          </w:p>
        </w:tc>
        <w:tc>
          <w:tcPr>
            <w:tcW w:w="2040" w:type="dxa"/>
            <w:tcBorders>
              <w:top w:val="single" w:sz="4" w:space="0" w:color="000000"/>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1,34</w:t>
            </w:r>
          </w:p>
        </w:tc>
      </w:tr>
      <w:tr>
        <w:trPr/>
        <w:tc>
          <w:tcPr>
            <w:tcW w:w="3960" w:type="dxa"/>
            <w:tcBorders>
              <w:top w:val="single" w:sz="4" w:space="0" w:color="000000"/>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Саратовский филиал ООО «Газпром энерго»</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1456177,34</w:t>
            </w:r>
          </w:p>
        </w:tc>
        <w:tc>
          <w:tcPr>
            <w:tcW w:w="192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117,62</w:t>
            </w:r>
          </w:p>
        </w:tc>
        <w:tc>
          <w:tcPr>
            <w:tcW w:w="165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2,16</w:t>
            </w:r>
          </w:p>
        </w:tc>
        <w:tc>
          <w:tcPr>
            <w:tcW w:w="1470"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1456177,34</w:t>
            </w:r>
          </w:p>
        </w:tc>
        <w:tc>
          <w:tcPr>
            <w:tcW w:w="1875" w:type="dxa"/>
            <w:tcBorders>
              <w:top w:val="single" w:sz="4" w:space="0" w:color="000000"/>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117,62</w:t>
            </w:r>
          </w:p>
        </w:tc>
        <w:tc>
          <w:tcPr>
            <w:tcW w:w="2040" w:type="dxa"/>
            <w:tcBorders>
              <w:top w:val="single" w:sz="4" w:space="0" w:color="000000"/>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2,16</w:t>
            </w:r>
          </w:p>
        </w:tc>
      </w:tr>
      <w:tr>
        <w:trPr/>
        <w:tc>
          <w:tcPr>
            <w:tcW w:w="3960" w:type="dxa"/>
            <w:tcBorders>
              <w:left w:val="single" w:sz="4" w:space="0" w:color="000000"/>
              <w:bottom w:val="single" w:sz="4" w:space="0" w:color="000000"/>
            </w:tcBorders>
          </w:tcPr>
          <w:p>
            <w:pPr>
              <w:pStyle w:val="Style24"/>
              <w:widowControl w:val="false"/>
              <w:rPr>
                <w:rFonts w:ascii="Arial" w:hAnsi="Arial"/>
                <w:sz w:val="18"/>
                <w:szCs w:val="18"/>
              </w:rPr>
            </w:pPr>
            <w:r>
              <w:rPr>
                <w:rFonts w:ascii="Arial" w:hAnsi="Arial"/>
                <w:b w:val="false"/>
                <w:i w:val="false"/>
                <w:strike w:val="false"/>
                <w:dstrike w:val="false"/>
                <w:outline w:val="false"/>
                <w:shadow w:val="false"/>
                <w:sz w:val="18"/>
                <w:szCs w:val="18"/>
                <w:u w:val="none"/>
                <w:em w:val="none"/>
              </w:rPr>
              <w:t>Филиал ПАО «Россети Волга» – «Саратовскиераспределительные сети» – АО «Энергосервис Волги»</w:t>
            </w:r>
          </w:p>
        </w:tc>
        <w:tc>
          <w:tcPr>
            <w:tcW w:w="1650"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184794,98</w:t>
            </w:r>
          </w:p>
        </w:tc>
        <w:tc>
          <w:tcPr>
            <w:tcW w:w="1920"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933,82</w:t>
            </w:r>
          </w:p>
        </w:tc>
        <w:tc>
          <w:tcPr>
            <w:tcW w:w="1650"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1,33</w:t>
            </w:r>
          </w:p>
        </w:tc>
        <w:tc>
          <w:tcPr>
            <w:tcW w:w="1470"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184794,98</w:t>
            </w:r>
          </w:p>
        </w:tc>
        <w:tc>
          <w:tcPr>
            <w:tcW w:w="1875" w:type="dxa"/>
            <w:tcBorders>
              <w:left w:val="single" w:sz="4" w:space="0" w:color="000000"/>
              <w:bottom w:val="single" w:sz="4" w:space="0" w:color="000000"/>
            </w:tcBorders>
          </w:tcPr>
          <w:p>
            <w:pPr>
              <w:pStyle w:val="Style26"/>
              <w:spacing w:before="0" w:after="160"/>
              <w:jc w:val="center"/>
              <w:rPr>
                <w:rFonts w:ascii="Arial" w:hAnsi="Arial"/>
                <w:sz w:val="18"/>
                <w:szCs w:val="18"/>
              </w:rPr>
            </w:pPr>
            <w:r>
              <w:rPr>
                <w:rFonts w:ascii="Arial" w:hAnsi="Arial"/>
                <w:sz w:val="18"/>
                <w:szCs w:val="18"/>
              </w:rPr>
              <w:t>933,82</w:t>
            </w:r>
          </w:p>
        </w:tc>
        <w:tc>
          <w:tcPr>
            <w:tcW w:w="2040" w:type="dxa"/>
            <w:tcBorders>
              <w:left w:val="single" w:sz="4" w:space="0" w:color="000000"/>
              <w:bottom w:val="single" w:sz="4" w:space="0" w:color="000000"/>
              <w:right w:val="single" w:sz="4" w:space="0" w:color="000000"/>
            </w:tcBorders>
          </w:tcPr>
          <w:p>
            <w:pPr>
              <w:pStyle w:val="Style26"/>
              <w:spacing w:before="0" w:after="160"/>
              <w:jc w:val="center"/>
              <w:rPr>
                <w:rFonts w:ascii="Arial" w:hAnsi="Arial"/>
                <w:sz w:val="18"/>
                <w:szCs w:val="18"/>
              </w:rPr>
            </w:pPr>
            <w:r>
              <w:rPr>
                <w:rFonts w:ascii="Arial" w:hAnsi="Arial"/>
                <w:sz w:val="18"/>
                <w:szCs w:val="18"/>
              </w:rPr>
              <w:t>1,33</w:t>
            </w:r>
          </w:p>
        </w:tc>
      </w:tr>
    </w:tbl>
    <w:p>
      <w:pPr>
        <w:pStyle w:val="Normal"/>
        <w:ind w:left="720" w:firstLine="1134"/>
        <w:rPr>
          <w:rFonts w:ascii="Times New Roman" w:hAnsi="Times New Roman"/>
        </w:rPr>
      </w:pPr>
      <w:r>
        <w:rPr>
          <w:rFonts w:ascii="Times New Roman" w:hAnsi="Times New Roman"/>
        </w:rPr>
      </w:r>
    </w:p>
    <w:p>
      <w:pPr>
        <w:pStyle w:val="Normal"/>
        <w:spacing w:lineRule="auto" w:line="240" w:before="0" w:after="0"/>
        <w:contextualSpacing/>
        <w:jc w:val="right"/>
        <w:rPr>
          <w:rFonts w:ascii="Times New Roman" w:hAnsi="Times New Roman"/>
          <w:sz w:val="20"/>
          <w:szCs w:val="20"/>
        </w:rPr>
      </w:pPr>
      <w:r>
        <w:rPr>
          <w:rFonts w:ascii="Times New Roman" w:hAnsi="Times New Roman"/>
          <w:sz w:val="20"/>
          <w:szCs w:val="20"/>
        </w:rPr>
      </w:r>
    </w:p>
    <w:p>
      <w:pPr>
        <w:pStyle w:val="Normal"/>
        <w:ind w:left="709" w:hanging="0"/>
        <w:rPr>
          <w:rFonts w:ascii="Times New Roman" w:hAnsi="Times New Roman"/>
          <w:sz w:val="20"/>
        </w:rPr>
      </w:pPr>
      <w:r>
        <w:rPr>
          <w:rFonts w:ascii="Times New Roman" w:hAnsi="Times New Roman"/>
          <w:sz w:val="20"/>
        </w:rPr>
        <w:t>Текст постановления опубликован на сайте электронного периодического издания "Новости Саратовской губернии" (</w:t>
      </w:r>
      <w:hyperlink r:id="rId3">
        <w:r>
          <w:rPr>
            <w:rStyle w:val="-"/>
            <w:rFonts w:ascii="Times New Roman" w:hAnsi="Times New Roman"/>
            <w:sz w:val="20"/>
          </w:rPr>
          <w:t>http://g-64.ru/</w:t>
        </w:r>
      </w:hyperlink>
      <w:r>
        <w:rPr>
          <w:rFonts w:ascii="Times New Roman" w:hAnsi="Times New Roman"/>
          <w:sz w:val="20"/>
        </w:rPr>
        <w:t xml:space="preserve">) </w:t>
      </w:r>
      <w:r>
        <w:rPr>
          <w:rFonts w:ascii="Times New Roman" w:hAnsi="Times New Roman"/>
          <w:sz w:val="20"/>
        </w:rPr>
        <w:t>7</w:t>
      </w:r>
      <w:r>
        <w:rPr>
          <w:rFonts w:ascii="Times New Roman" w:hAnsi="Times New Roman"/>
          <w:sz w:val="20"/>
        </w:rPr>
        <w:t xml:space="preserve"> декабря 202</w:t>
      </w:r>
      <w:r>
        <w:rPr>
          <w:rFonts w:ascii="Times New Roman" w:hAnsi="Times New Roman"/>
          <w:sz w:val="20"/>
        </w:rPr>
        <w:t>4</w:t>
      </w:r>
      <w:r>
        <w:rPr>
          <w:rFonts w:ascii="Times New Roman" w:hAnsi="Times New Roman"/>
          <w:sz w:val="20"/>
        </w:rPr>
        <w:t> г.</w:t>
      </w:r>
    </w:p>
    <w:p>
      <w:pPr>
        <w:sectPr>
          <w:type w:val="nextPage"/>
          <w:pgSz w:orient="landscape" w:w="16838" w:h="11906"/>
          <w:pgMar w:left="1134" w:right="1134" w:gutter="0" w:header="0" w:top="284" w:footer="0" w:bottom="567"/>
          <w:pgNumType w:fmt="decimal"/>
          <w:formProt w:val="false"/>
          <w:textDirection w:val="lrTb"/>
          <w:docGrid w:type="default" w:linePitch="360" w:charSpace="0"/>
        </w:sectPr>
        <w:pStyle w:val="Normal"/>
        <w:ind w:left="709" w:hanging="0"/>
        <w:jc w:val="center"/>
        <w:rPr>
          <w:rFonts w:ascii="Times New Roman" w:hAnsi="Times New Roman"/>
          <w:sz w:val="20"/>
        </w:rPr>
      </w:pPr>
      <w:r>
        <w:rPr>
          <w:rFonts w:ascii="Times New Roman" w:hAnsi="Times New Roman"/>
          <w:sz w:val="20"/>
        </w:rPr>
      </w:r>
      <w:bookmarkStart w:id="0" w:name="_GoBack"/>
      <w:bookmarkStart w:id="1" w:name="_GoBack"/>
      <w:bookmarkEnd w:id="1"/>
    </w:p>
    <w:p>
      <w:pPr>
        <w:pStyle w:val="Normal"/>
        <w:jc w:val="center"/>
        <w:rPr>
          <w:rStyle w:val="-"/>
          <w:rFonts w:ascii="Times New Roman" w:hAnsi="Times New Roman"/>
        </w:rPr>
      </w:pPr>
      <w:hyperlink r:id="rId4">
        <w:r>
          <w:rPr>
            <w:rStyle w:val="-"/>
            <w:rFonts w:ascii="Times New Roman" w:hAnsi="Times New Roman"/>
          </w:rPr>
          <w:t xml:space="preserve">Постановлением комитета государственного регулирования тарифов Саратовской области от </w:t>
        </w:r>
        <w:r>
          <w:rPr>
            <w:rStyle w:val="-"/>
            <w:rFonts w:ascii="Times New Roman" w:hAnsi="Times New Roman"/>
          </w:rPr>
          <w:t>29</w:t>
        </w:r>
        <w:r>
          <w:rPr>
            <w:rStyle w:val="-"/>
            <w:rFonts w:ascii="Times New Roman" w:hAnsi="Times New Roman"/>
          </w:rPr>
          <w:t xml:space="preserve"> </w:t>
        </w:r>
        <w:r>
          <w:rPr>
            <w:rStyle w:val="-"/>
            <w:rFonts w:ascii="Times New Roman" w:hAnsi="Times New Roman"/>
          </w:rPr>
          <w:t>ноября</w:t>
        </w:r>
        <w:r>
          <w:rPr>
            <w:rStyle w:val="-"/>
            <w:rFonts w:ascii="Times New Roman" w:hAnsi="Times New Roman"/>
          </w:rPr>
          <w:t xml:space="preserve"> 202</w:t>
        </w:r>
        <w:r>
          <w:rPr>
            <w:rStyle w:val="-"/>
            <w:rFonts w:ascii="Times New Roman" w:hAnsi="Times New Roman"/>
          </w:rPr>
          <w:t>4</w:t>
        </w:r>
        <w:r>
          <w:rPr>
            <w:rStyle w:val="-"/>
            <w:rFonts w:ascii="Times New Roman" w:hAnsi="Times New Roman"/>
          </w:rPr>
          <w:t xml:space="preserve"> года № </w:t>
        </w:r>
        <w:r>
          <w:rPr>
            <w:rStyle w:val="-"/>
            <w:rFonts w:ascii="Times New Roman" w:hAnsi="Times New Roman"/>
          </w:rPr>
          <w:t>79</w:t>
        </w:r>
        <w:r>
          <w:rPr>
            <w:rStyle w:val="-"/>
            <w:rFonts w:ascii="Times New Roman" w:hAnsi="Times New Roman"/>
          </w:rPr>
          <w:t xml:space="preserve"> «</w:t>
        </w:r>
        <w:r>
          <w:rPr>
            <w:rStyle w:val="-"/>
            <w:rFonts w:ascii="Times New Roman" w:hAnsi="Times New Roman"/>
            <w:bCs/>
          </w:rPr>
          <w:t>Об установлении стандартизированных тарифных ставок и формул для расчета платы за технологическое присоединение энергопринимающих устройств (энергетических установок) к электрическим сетям территориальных сетевых организаций Саратовской области на 2024 год</w:t>
        </w:r>
        <w:r>
          <w:rPr>
            <w:rStyle w:val="-"/>
            <w:rFonts w:ascii="Times New Roman" w:hAnsi="Times New Roman"/>
          </w:rPr>
          <w:t>» установлены и введены в действие с 1 января</w:t>
        </w:r>
      </w:hyperlink>
      <w:r>
        <w:rPr>
          <w:rStyle w:val="-"/>
          <w:rFonts w:ascii="Times New Roman" w:hAnsi="Times New Roman"/>
        </w:rPr>
        <w:t xml:space="preserve"> 202</w:t>
      </w:r>
      <w:r>
        <w:rPr>
          <w:rStyle w:val="-"/>
          <w:rFonts w:ascii="Times New Roman" w:hAnsi="Times New Roman"/>
        </w:rPr>
        <w:t>5</w:t>
      </w:r>
      <w:r>
        <w:rPr>
          <w:rStyle w:val="-"/>
          <w:rFonts w:ascii="Times New Roman" w:hAnsi="Times New Roman"/>
        </w:rPr>
        <w:t xml:space="preserve"> года по 31 декабря 202</w:t>
      </w:r>
      <w:r>
        <w:rPr>
          <w:rStyle w:val="-"/>
          <w:rFonts w:ascii="Times New Roman" w:hAnsi="Times New Roman"/>
        </w:rPr>
        <w:t>5</w:t>
      </w:r>
      <w:r>
        <w:rPr>
          <w:rStyle w:val="-"/>
          <w:rFonts w:ascii="Times New Roman" w:hAnsi="Times New Roman"/>
        </w:rPr>
        <w:t xml:space="preserve"> года:</w:t>
      </w:r>
    </w:p>
    <w:p>
      <w:pPr>
        <w:pStyle w:val="NormalWeb"/>
        <w:spacing w:beforeAutospacing="0" w:before="0" w:afterAutospacing="0" w:after="0"/>
        <w:ind w:left="720" w:hanging="0"/>
        <w:jc w:val="center"/>
        <w:rPr>
          <w:color w:val="000000"/>
          <w:sz w:val="22"/>
          <w:szCs w:val="17"/>
        </w:rPr>
      </w:pPr>
      <w:r>
        <w:rPr>
          <w:color w:val="000000"/>
          <w:sz w:val="22"/>
          <w:szCs w:val="17"/>
        </w:rPr>
      </w:r>
    </w:p>
    <w:p>
      <w:pPr>
        <w:pStyle w:val="Normal"/>
        <w:spacing w:before="0" w:after="0"/>
        <w:jc w:val="center"/>
        <w:rPr>
          <w:rFonts w:ascii="Times New Roman" w:hAnsi="Times New Roman"/>
          <w:sz w:val="24"/>
        </w:rPr>
      </w:pPr>
      <w:r>
        <w:rPr>
          <w:rFonts w:ascii="Times New Roman" w:hAnsi="Times New Roman"/>
          <w:sz w:val="24"/>
        </w:rPr>
        <w:t xml:space="preserve"> </w:t>
      </w:r>
      <w:r>
        <w:rPr>
          <w:rFonts w:ascii="Times New Roman" w:hAnsi="Times New Roman"/>
          <w:sz w:val="24"/>
        </w:rPr>
        <w:tab/>
        <w:t>Стандартизированная тарифная ставка С1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к электрическим сетям территориальных сетевых организаций Саратовской области на 202</w:t>
      </w:r>
      <w:r>
        <w:rPr>
          <w:rFonts w:ascii="Times New Roman" w:hAnsi="Times New Roman"/>
          <w:sz w:val="24"/>
        </w:rPr>
        <w:t>5</w:t>
      </w:r>
      <w:r>
        <w:rPr>
          <w:rFonts w:ascii="Times New Roman" w:hAnsi="Times New Roman"/>
          <w:sz w:val="24"/>
        </w:rPr>
        <w:t xml:space="preserve"> год.</w:t>
      </w:r>
    </w:p>
    <w:p>
      <w:pPr>
        <w:pStyle w:val="Normal"/>
        <w:spacing w:lineRule="auto" w:line="240" w:before="0" w:after="0"/>
        <w:jc w:val="right"/>
        <w:rPr>
          <w:rFonts w:ascii="Times New Roman" w:hAnsi="Times New Roman"/>
        </w:rPr>
      </w:pPr>
      <w:r>
        <w:rPr>
          <w:rFonts w:ascii="Times New Roman" w:hAnsi="Times New Roman"/>
        </w:rPr>
        <w:t xml:space="preserve">Таблица </w:t>
      </w:r>
      <w:r>
        <w:rPr>
          <w:rFonts w:ascii="Times New Roman" w:hAnsi="Times New Roman"/>
        </w:rPr>
        <w:t>2</w:t>
      </w:r>
      <w:r>
        <w:rPr>
          <w:rFonts w:ascii="Times New Roman" w:hAnsi="Times New Roman"/>
        </w:rPr>
        <w:t>.</w:t>
      </w:r>
    </w:p>
    <w:p>
      <w:pPr>
        <w:pStyle w:val="Normal"/>
        <w:spacing w:lineRule="auto" w:line="240" w:before="0" w:after="0"/>
        <w:jc w:val="right"/>
        <w:rPr>
          <w:rFonts w:ascii="Times New Roman" w:hAnsi="Times New Roman"/>
        </w:rPr>
      </w:pPr>
      <w:r>
        <w:rPr>
          <w:rFonts w:ascii="Times New Roman" w:hAnsi="Times New Roman"/>
        </w:rPr>
        <w:t>(без учета НДС)</w:t>
      </w:r>
    </w:p>
    <w:tbl>
      <w:tblPr>
        <w:tblW w:w="10206" w:type="dxa"/>
        <w:jc w:val="left"/>
        <w:tblInd w:w="392" w:type="dxa"/>
        <w:tblLayout w:type="fixed"/>
        <w:tblCellMar>
          <w:top w:w="0" w:type="dxa"/>
          <w:left w:w="108" w:type="dxa"/>
          <w:bottom w:w="0" w:type="dxa"/>
          <w:right w:w="108" w:type="dxa"/>
        </w:tblCellMar>
        <w:tblLook w:noVBand="0" w:val="0000" w:noHBand="0" w:lastColumn="0" w:firstColumn="0" w:lastRow="0" w:firstRow="0"/>
      </w:tblPr>
      <w:tblGrid>
        <w:gridCol w:w="1479"/>
        <w:gridCol w:w="2904"/>
        <w:gridCol w:w="3480"/>
        <w:gridCol w:w="2342"/>
      </w:tblGrid>
      <w:tr>
        <w:trPr/>
        <w:tc>
          <w:tcPr>
            <w:tcW w:w="1479" w:type="dxa"/>
            <w:tcBorders>
              <w:top w:val="single" w:sz="4" w:space="0" w:color="000000"/>
              <w:left w:val="single" w:sz="4" w:space="0" w:color="000000"/>
            </w:tcBorders>
          </w:tcPr>
          <w:p>
            <w:pPr>
              <w:pStyle w:val="Style25"/>
              <w:widowControl w:val="false"/>
              <w:jc w:val="center"/>
              <w:rPr>
                <w:rFonts w:ascii="Times New Roman" w:hAnsi="Times New Roman" w:cs="Times New Roman"/>
                <w:sz w:val="20"/>
                <w:szCs w:val="20"/>
              </w:rPr>
            </w:pPr>
            <w:r>
              <w:rPr>
                <w:rFonts w:cs="Times New Roman" w:ascii="Times New Roman" w:hAnsi="Times New Roman"/>
                <w:sz w:val="20"/>
                <w:szCs w:val="20"/>
              </w:rPr>
              <w:t>Обозначение</w:t>
            </w:r>
          </w:p>
        </w:tc>
        <w:tc>
          <w:tcPr>
            <w:tcW w:w="6384" w:type="dxa"/>
            <w:gridSpan w:val="2"/>
            <w:tcBorders>
              <w:top w:val="single" w:sz="4" w:space="0" w:color="000000"/>
              <w:left w:val="single" w:sz="4" w:space="0" w:color="000000"/>
            </w:tcBorders>
          </w:tcPr>
          <w:p>
            <w:pPr>
              <w:pStyle w:val="Style25"/>
              <w:widowControl w:val="false"/>
              <w:jc w:val="center"/>
              <w:rPr>
                <w:rFonts w:ascii="Times New Roman" w:hAnsi="Times New Roman" w:cs="Times New Roman"/>
                <w:sz w:val="20"/>
                <w:szCs w:val="20"/>
              </w:rPr>
            </w:pPr>
            <w:r>
              <w:rPr>
                <w:rFonts w:cs="Times New Roman" w:ascii="Times New Roman" w:hAnsi="Times New Roman"/>
                <w:sz w:val="20"/>
                <w:szCs w:val="20"/>
              </w:rPr>
              <w:t>Наименование ставки</w:t>
            </w:r>
          </w:p>
        </w:tc>
        <w:tc>
          <w:tcPr>
            <w:tcW w:w="2342" w:type="dxa"/>
            <w:tcBorders>
              <w:top w:val="single" w:sz="4" w:space="0" w:color="000000"/>
              <w:left w:val="single" w:sz="4" w:space="0" w:color="000000"/>
              <w:right w:val="single" w:sz="4" w:space="0" w:color="000000"/>
            </w:tcBorders>
          </w:tcPr>
          <w:p>
            <w:pPr>
              <w:pStyle w:val="Style25"/>
              <w:widowControl w:val="false"/>
              <w:jc w:val="center"/>
              <w:rPr>
                <w:rFonts w:ascii="Times New Roman" w:hAnsi="Times New Roman" w:cs="Times New Roman"/>
                <w:sz w:val="20"/>
                <w:szCs w:val="20"/>
              </w:rPr>
            </w:pPr>
            <w:r>
              <w:rPr>
                <w:rFonts w:cs="Times New Roman" w:ascii="Times New Roman" w:hAnsi="Times New Roman"/>
                <w:sz w:val="20"/>
                <w:szCs w:val="20"/>
              </w:rPr>
              <w:t>Стандартизированная ставка в ценах периода регулирования (руб. за одно присоединение) (без учета НДС)</w:t>
            </w:r>
          </w:p>
        </w:tc>
      </w:tr>
      <w:tr>
        <w:trPr/>
        <w:tc>
          <w:tcPr>
            <w:tcW w:w="1479" w:type="dxa"/>
            <w:vMerge w:val="restart"/>
            <w:tcBorders>
              <w:top w:val="single" w:sz="4" w:space="0" w:color="000000"/>
              <w:left w:val="single" w:sz="4" w:space="0" w:color="000000"/>
              <w:bottom w:val="single" w:sz="4" w:space="0" w:color="000000"/>
            </w:tcBorders>
          </w:tcPr>
          <w:p>
            <w:pPr>
              <w:pStyle w:val="Style25"/>
              <w:widowControl w:val="false"/>
              <w:jc w:val="center"/>
              <w:rPr>
                <w:rFonts w:ascii="Times New Roman" w:hAnsi="Times New Roman" w:cs="Times New Roman"/>
                <w:sz w:val="20"/>
                <w:szCs w:val="20"/>
              </w:rPr>
            </w:pPr>
            <w:r>
              <w:rPr>
                <w:rFonts w:cs="Times New Roman" w:ascii="Times New Roman" w:hAnsi="Times New Roman"/>
                <w:sz w:val="20"/>
                <w:szCs w:val="20"/>
              </w:rPr>
              <w:t>С1</w:t>
            </w:r>
          </w:p>
        </w:tc>
        <w:tc>
          <w:tcPr>
            <w:tcW w:w="2904" w:type="dxa"/>
            <w:vMerge w:val="restart"/>
            <w:tcBorders>
              <w:top w:val="single" w:sz="4" w:space="0" w:color="000000"/>
              <w:left w:val="single" w:sz="4" w:space="0" w:color="000000"/>
              <w:bottom w:val="single" w:sz="4" w:space="0" w:color="000000"/>
            </w:tcBorders>
          </w:tcPr>
          <w:p>
            <w:pPr>
              <w:pStyle w:val="Normal"/>
              <w:spacing w:before="0" w:after="160"/>
              <w:rPr>
                <w:rFonts w:ascii="Times New Roman" w:hAnsi="Times New Roman"/>
                <w:b w:val="false"/>
                <w:bCs w:val="false"/>
                <w:color w:val="000000"/>
                <w:sz w:val="20"/>
                <w:szCs w:val="20"/>
              </w:rPr>
            </w:pPr>
            <w:r>
              <w:rPr>
                <w:rFonts w:cs="Times New Roman" w:ascii="Times New Roman" w:hAnsi="Times New Roman"/>
                <w:b w:val="false"/>
                <w:bCs w:val="false"/>
                <w:color w:val="000000"/>
                <w:sz w:val="20"/>
                <w:szCs w:val="20"/>
              </w:rPr>
              <w:t>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на подготовку и выдачу сетевой организацией технических условий заявителю и проверку сетевой организацией выполнения технических условий заявителем</w:t>
            </w:r>
          </w:p>
        </w:tc>
        <w:tc>
          <w:tcPr>
            <w:tcW w:w="3480" w:type="dxa"/>
            <w:tcBorders>
              <w:top w:val="single" w:sz="4" w:space="0" w:color="000000"/>
              <w:left w:val="single" w:sz="4" w:space="0" w:color="000000"/>
            </w:tcBorders>
          </w:tcPr>
          <w:p>
            <w:pPr>
              <w:pStyle w:val="Normal"/>
              <w:spacing w:before="0" w:after="240"/>
              <w:rPr>
                <w:rFonts w:ascii="Times New Roman" w:hAnsi="Times New Roman"/>
                <w:b w:val="false"/>
                <w:bCs w:val="false"/>
                <w:color w:val="000000"/>
                <w:sz w:val="20"/>
                <w:szCs w:val="20"/>
              </w:rPr>
            </w:pPr>
            <w:r>
              <w:rPr>
                <w:rFonts w:cs="Times New Roman" w:ascii="Times New Roman" w:hAnsi="Times New Roman"/>
                <w:b w:val="false"/>
                <w:bCs w:val="false"/>
                <w:color w:val="000000"/>
                <w:sz w:val="20"/>
                <w:szCs w:val="20"/>
              </w:rPr>
              <w:t>для случаев технологического присоединения объектов Заявителей, указанных в пунктах 12(1), 13(2) - 13(5) и 14 Правил технологического присоединения, если технологическое присоединение энергопринимающих устройств таких Заявителей осуществляется на уровне напряжения 0,4 кВ и ниже</w:t>
            </w:r>
          </w:p>
        </w:tc>
        <w:tc>
          <w:tcPr>
            <w:tcW w:w="2342" w:type="dxa"/>
            <w:tcBorders>
              <w:top w:val="single" w:sz="4" w:space="0" w:color="000000"/>
              <w:left w:val="single" w:sz="4" w:space="0" w:color="000000"/>
              <w:right w:val="single" w:sz="4" w:space="0" w:color="000000"/>
            </w:tcBorders>
          </w:tcPr>
          <w:p>
            <w:pPr>
              <w:pStyle w:val="Normal"/>
              <w:spacing w:before="0" w:after="160"/>
              <w:jc w:val="center"/>
              <w:rPr>
                <w:b w:val="false"/>
                <w:bCs w:val="false"/>
                <w:color w:val="000000"/>
                <w:sz w:val="20"/>
                <w:szCs w:val="20"/>
              </w:rPr>
            </w:pPr>
            <w:r>
              <w:rPr>
                <w:rFonts w:cs="Times New Roman" w:ascii="Times New Roman" w:hAnsi="Times New Roman"/>
                <w:b w:val="false"/>
                <w:bCs w:val="false"/>
                <w:color w:val="000000"/>
                <w:sz w:val="20"/>
                <w:szCs w:val="20"/>
              </w:rPr>
              <w:t>21 387,32</w:t>
            </w:r>
          </w:p>
        </w:tc>
      </w:tr>
      <w:tr>
        <w:trPr/>
        <w:tc>
          <w:tcPr>
            <w:tcW w:w="1479" w:type="dxa"/>
            <w:vMerge w:val="continue"/>
            <w:tcBorders>
              <w:top w:val="single" w:sz="4" w:space="0" w:color="000000"/>
              <w:left w:val="single" w:sz="4" w:space="0" w:color="000000"/>
              <w:bottom w:val="single" w:sz="4" w:space="0" w:color="000000"/>
              <w:right w:val="single" w:sz="4" w:space="0" w:color="000000"/>
            </w:tcBorders>
          </w:tcPr>
          <w:p>
            <w:pPr>
              <w:pStyle w:val="Style25"/>
              <w:widowControl w:val="false"/>
              <w:rPr>
                <w:rFonts w:ascii="Times New Roman" w:hAnsi="Times New Roman" w:cs="Times New Roman"/>
                <w:sz w:val="20"/>
                <w:szCs w:val="20"/>
              </w:rPr>
            </w:pPr>
            <w:r>
              <w:rPr>
                <w:rFonts w:cs="Times New Roman" w:ascii="Times New Roman" w:hAnsi="Times New Roman"/>
                <w:sz w:val="20"/>
                <w:szCs w:val="20"/>
              </w:rPr>
            </w:r>
          </w:p>
        </w:tc>
        <w:tc>
          <w:tcPr>
            <w:tcW w:w="2904" w:type="dxa"/>
            <w:vMerge w:val="continue"/>
            <w:tcBorders>
              <w:top w:val="single" w:sz="4" w:space="0" w:color="000000"/>
              <w:left w:val="single" w:sz="4" w:space="0" w:color="000000"/>
              <w:bottom w:val="single" w:sz="4" w:space="0" w:color="000000"/>
              <w:right w:val="single" w:sz="4" w:space="0" w:color="000000"/>
            </w:tcBorders>
          </w:tcPr>
          <w:p>
            <w:pPr>
              <w:pStyle w:val="Style25"/>
              <w:widowControl w:val="false"/>
              <w:rPr>
                <w:rFonts w:ascii="Times New Roman" w:hAnsi="Times New Roman" w:cs="Times New Roman"/>
                <w:b w:val="false"/>
                <w:bCs w:val="false"/>
                <w:sz w:val="20"/>
                <w:szCs w:val="20"/>
              </w:rPr>
            </w:pPr>
            <w:r>
              <w:rPr>
                <w:rFonts w:cs="Times New Roman" w:ascii="Times New Roman" w:hAnsi="Times New Roman"/>
                <w:b w:val="false"/>
                <w:bCs w:val="false"/>
                <w:sz w:val="20"/>
                <w:szCs w:val="20"/>
              </w:rPr>
            </w:r>
          </w:p>
        </w:tc>
        <w:tc>
          <w:tcPr>
            <w:tcW w:w="3480" w:type="dxa"/>
            <w:tcBorders>
              <w:top w:val="single" w:sz="4" w:space="0" w:color="000000"/>
              <w:left w:val="single" w:sz="4" w:space="0" w:color="000000"/>
            </w:tcBorders>
          </w:tcPr>
          <w:p>
            <w:pPr>
              <w:pStyle w:val="Normal"/>
              <w:spacing w:before="0" w:after="160"/>
              <w:rPr>
                <w:rFonts w:ascii="Times New Roman" w:hAnsi="Times New Roman"/>
                <w:b w:val="false"/>
                <w:bCs w:val="false"/>
                <w:color w:val="000000"/>
                <w:sz w:val="20"/>
                <w:szCs w:val="20"/>
              </w:rPr>
            </w:pPr>
            <w:r>
              <w:rPr>
                <w:rFonts w:cs="Times New Roman" w:ascii="Times New Roman" w:hAnsi="Times New Roman"/>
                <w:b w:val="false"/>
                <w:bCs w:val="false"/>
                <w:color w:val="000000"/>
                <w:sz w:val="20"/>
                <w:szCs w:val="20"/>
              </w:rPr>
              <w:t>для случаев технологического присоединения объектов Заявителей, не предусмотренных абзацем шестым пункта 24 Методических указаний</w:t>
            </w:r>
          </w:p>
        </w:tc>
        <w:tc>
          <w:tcPr>
            <w:tcW w:w="2342" w:type="dxa"/>
            <w:tcBorders>
              <w:top w:val="single" w:sz="4" w:space="0" w:color="000000"/>
              <w:left w:val="single" w:sz="4" w:space="0" w:color="000000"/>
              <w:right w:val="single" w:sz="4" w:space="0" w:color="000000"/>
            </w:tcBorders>
          </w:tcPr>
          <w:p>
            <w:pPr>
              <w:pStyle w:val="Normal"/>
              <w:spacing w:before="0" w:after="160"/>
              <w:jc w:val="center"/>
              <w:rPr>
                <w:b w:val="false"/>
                <w:bCs w:val="false"/>
                <w:color w:val="000000"/>
                <w:sz w:val="20"/>
                <w:szCs w:val="20"/>
              </w:rPr>
            </w:pPr>
            <w:r>
              <w:rPr>
                <w:rFonts w:cs="Times New Roman" w:ascii="Times New Roman" w:hAnsi="Times New Roman"/>
                <w:b w:val="false"/>
                <w:bCs w:val="false"/>
                <w:color w:val="000000"/>
                <w:sz w:val="20"/>
                <w:szCs w:val="20"/>
              </w:rPr>
              <w:t>28 827,75</w:t>
            </w:r>
          </w:p>
        </w:tc>
      </w:tr>
      <w:tr>
        <w:trPr/>
        <w:tc>
          <w:tcPr>
            <w:tcW w:w="1479" w:type="dxa"/>
            <w:tcBorders>
              <w:top w:val="single" w:sz="4" w:space="0" w:color="000000"/>
              <w:left w:val="single" w:sz="4" w:space="0" w:color="000000"/>
            </w:tcBorders>
          </w:tcPr>
          <w:p>
            <w:pPr>
              <w:pStyle w:val="Style25"/>
              <w:widowControl w:val="false"/>
              <w:jc w:val="center"/>
              <w:rPr>
                <w:rFonts w:ascii="Times New Roman" w:hAnsi="Times New Roman" w:cs="Times New Roman"/>
                <w:sz w:val="20"/>
                <w:szCs w:val="20"/>
              </w:rPr>
            </w:pPr>
            <w:r>
              <w:rPr>
                <w:rFonts w:cs="Times New Roman" w:ascii="Times New Roman" w:hAnsi="Times New Roman"/>
                <w:sz w:val="20"/>
                <w:szCs w:val="20"/>
              </w:rPr>
              <w:t>С1.1</w:t>
            </w:r>
          </w:p>
        </w:tc>
        <w:tc>
          <w:tcPr>
            <w:tcW w:w="6384" w:type="dxa"/>
            <w:gridSpan w:val="2"/>
            <w:tcBorders>
              <w:top w:val="single" w:sz="4" w:space="0" w:color="000000"/>
              <w:left w:val="single" w:sz="4" w:space="0" w:color="000000"/>
            </w:tcBorders>
          </w:tcPr>
          <w:p>
            <w:pPr>
              <w:pStyle w:val="Normal"/>
              <w:spacing w:before="0" w:after="160"/>
              <w:rPr>
                <w:rFonts w:ascii="Times New Roman" w:hAnsi="Times New Roman"/>
                <w:b w:val="false"/>
                <w:bCs w:val="false"/>
                <w:color w:val="000000"/>
                <w:sz w:val="20"/>
                <w:szCs w:val="20"/>
              </w:rPr>
            </w:pPr>
            <w:r>
              <w:rPr>
                <w:rFonts w:ascii="Times New Roman" w:hAnsi="Times New Roman"/>
                <w:b w:val="false"/>
                <w:bCs w:val="false"/>
                <w:color w:val="000000"/>
                <w:sz w:val="20"/>
                <w:szCs w:val="20"/>
              </w:rPr>
              <w:t>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w:t>
            </w:r>
          </w:p>
        </w:tc>
        <w:tc>
          <w:tcPr>
            <w:tcW w:w="2342" w:type="dxa"/>
            <w:tcBorders>
              <w:top w:val="single" w:sz="4" w:space="0" w:color="000000"/>
              <w:left w:val="single" w:sz="4" w:space="0" w:color="000000"/>
              <w:right w:val="single" w:sz="4" w:space="0" w:color="000000"/>
            </w:tcBorders>
          </w:tcPr>
          <w:p>
            <w:pPr>
              <w:pStyle w:val="Normal"/>
              <w:spacing w:before="0" w:after="160"/>
              <w:jc w:val="center"/>
              <w:rPr>
                <w:color w:val="000000"/>
                <w:sz w:val="20"/>
                <w:szCs w:val="20"/>
              </w:rPr>
            </w:pPr>
            <w:r>
              <w:rPr>
                <w:rFonts w:cs="Times New Roman" w:ascii="Times New Roman" w:hAnsi="Times New Roman"/>
                <w:color w:val="000000"/>
                <w:sz w:val="20"/>
                <w:szCs w:val="20"/>
              </w:rPr>
              <w:t>11 003,84</w:t>
            </w:r>
          </w:p>
        </w:tc>
      </w:tr>
      <w:tr>
        <w:trPr/>
        <w:tc>
          <w:tcPr>
            <w:tcW w:w="1479" w:type="dxa"/>
            <w:tcBorders>
              <w:top w:val="single" w:sz="4" w:space="0" w:color="000000"/>
              <w:left w:val="single" w:sz="4" w:space="0" w:color="000000"/>
            </w:tcBorders>
          </w:tcPr>
          <w:p>
            <w:pPr>
              <w:pStyle w:val="Style25"/>
              <w:widowControl w:val="false"/>
              <w:jc w:val="center"/>
              <w:rPr>
                <w:rFonts w:ascii="Times New Roman" w:hAnsi="Times New Roman" w:cs="Times New Roman"/>
                <w:sz w:val="20"/>
                <w:szCs w:val="20"/>
              </w:rPr>
            </w:pPr>
            <w:r>
              <w:rPr>
                <w:rFonts w:cs="Times New Roman" w:ascii="Times New Roman" w:hAnsi="Times New Roman"/>
                <w:sz w:val="20"/>
                <w:szCs w:val="20"/>
              </w:rPr>
              <w:t>С1.2.1</w:t>
            </w:r>
          </w:p>
        </w:tc>
        <w:tc>
          <w:tcPr>
            <w:tcW w:w="6384" w:type="dxa"/>
            <w:gridSpan w:val="2"/>
            <w:tcBorders>
              <w:top w:val="single" w:sz="4" w:space="0" w:color="000000"/>
              <w:left w:val="single" w:sz="4" w:space="0" w:color="000000"/>
            </w:tcBorders>
          </w:tcPr>
          <w:p>
            <w:pPr>
              <w:pStyle w:val="Normal"/>
              <w:spacing w:before="0" w:after="160"/>
              <w:rPr>
                <w:rFonts w:ascii="Times New Roman" w:hAnsi="Times New Roman"/>
                <w:b w:val="false"/>
                <w:bCs w:val="false"/>
                <w:color w:val="000000"/>
                <w:sz w:val="20"/>
                <w:szCs w:val="20"/>
              </w:rPr>
            </w:pPr>
            <w:r>
              <w:rPr>
                <w:rFonts w:ascii="Times New Roman" w:hAnsi="Times New Roman"/>
                <w:b w:val="false"/>
                <w:bCs w:val="false"/>
                <w:color w:val="000000"/>
                <w:sz w:val="20"/>
                <w:szCs w:val="20"/>
              </w:rPr>
              <w:t>стандартизированная тарифная ставка на покрытие расходов на выдачу уведомления об обеспечении сетевой организацией возможности присоединения к электрическим сетям Заявителям, указанным в абзаце шестом пункта 24 Методических указаний по определению размера платы за технологическое присоединение к электрическим сетям</w:t>
            </w:r>
          </w:p>
        </w:tc>
        <w:tc>
          <w:tcPr>
            <w:tcW w:w="2342" w:type="dxa"/>
            <w:tcBorders>
              <w:top w:val="single" w:sz="4" w:space="0" w:color="000000"/>
              <w:left w:val="single" w:sz="4" w:space="0" w:color="000000"/>
              <w:right w:val="single" w:sz="4" w:space="0" w:color="000000"/>
            </w:tcBorders>
          </w:tcPr>
          <w:p>
            <w:pPr>
              <w:pStyle w:val="Normal"/>
              <w:spacing w:before="0" w:after="160"/>
              <w:jc w:val="center"/>
              <w:rPr>
                <w:color w:val="000000"/>
                <w:sz w:val="20"/>
                <w:szCs w:val="20"/>
              </w:rPr>
            </w:pPr>
            <w:r>
              <w:rPr>
                <w:rFonts w:cs="Times New Roman" w:ascii="Times New Roman" w:hAnsi="Times New Roman"/>
                <w:color w:val="000000"/>
                <w:sz w:val="20"/>
                <w:szCs w:val="20"/>
              </w:rPr>
              <w:t>10 383,48</w:t>
            </w:r>
          </w:p>
        </w:tc>
      </w:tr>
      <w:tr>
        <w:trPr/>
        <w:tc>
          <w:tcPr>
            <w:tcW w:w="1479" w:type="dxa"/>
            <w:tcBorders>
              <w:top w:val="single" w:sz="4" w:space="0" w:color="000000"/>
              <w:left w:val="single" w:sz="4" w:space="0" w:color="000000"/>
              <w:bottom w:val="single" w:sz="4" w:space="0" w:color="000000"/>
            </w:tcBorders>
          </w:tcPr>
          <w:p>
            <w:pPr>
              <w:pStyle w:val="Style25"/>
              <w:widowControl w:val="false"/>
              <w:jc w:val="center"/>
              <w:rPr>
                <w:rFonts w:ascii="Times New Roman" w:hAnsi="Times New Roman" w:cs="Times New Roman"/>
                <w:sz w:val="20"/>
                <w:szCs w:val="20"/>
              </w:rPr>
            </w:pPr>
            <w:r>
              <w:rPr>
                <w:rFonts w:cs="Times New Roman" w:ascii="Times New Roman" w:hAnsi="Times New Roman"/>
                <w:sz w:val="20"/>
                <w:szCs w:val="20"/>
              </w:rPr>
              <w:t>С1.2.2</w:t>
            </w:r>
          </w:p>
        </w:tc>
        <w:tc>
          <w:tcPr>
            <w:tcW w:w="6384" w:type="dxa"/>
            <w:gridSpan w:val="2"/>
            <w:tcBorders>
              <w:top w:val="single" w:sz="4" w:space="0" w:color="000000"/>
              <w:left w:val="single" w:sz="4" w:space="0" w:color="000000"/>
              <w:bottom w:val="single" w:sz="4" w:space="0" w:color="000000"/>
            </w:tcBorders>
          </w:tcPr>
          <w:p>
            <w:pPr>
              <w:pStyle w:val="Normal"/>
              <w:spacing w:before="0" w:after="160"/>
              <w:rPr>
                <w:rFonts w:ascii="Times New Roman" w:hAnsi="Times New Roman"/>
                <w:b w:val="false"/>
                <w:bCs w:val="false"/>
                <w:color w:val="000000"/>
                <w:sz w:val="20"/>
                <w:szCs w:val="20"/>
              </w:rPr>
            </w:pPr>
            <w:r>
              <w:rPr>
                <w:rFonts w:ascii="Times New Roman" w:hAnsi="Times New Roman"/>
                <w:b w:val="false"/>
                <w:bCs w:val="false"/>
                <w:color w:val="000000"/>
                <w:sz w:val="20"/>
                <w:szCs w:val="20"/>
              </w:rPr>
              <w:t>стандартизированная тарифная ставка на покрытие расходов на проверку выполнения технических условий Заявителями, указанными в абзаце седьмом пункта 24 Методических указаний по определению размера платы за технологическое присоединение к электрическим сетям</w:t>
            </w:r>
          </w:p>
        </w:tc>
        <w:tc>
          <w:tcPr>
            <w:tcW w:w="2342" w:type="dxa"/>
            <w:tcBorders>
              <w:top w:val="single" w:sz="4" w:space="0" w:color="000000"/>
              <w:left w:val="single" w:sz="4" w:space="0" w:color="000000"/>
              <w:bottom w:val="single" w:sz="4" w:space="0" w:color="000000"/>
              <w:right w:val="single" w:sz="4" w:space="0" w:color="000000"/>
            </w:tcBorders>
          </w:tcPr>
          <w:p>
            <w:pPr>
              <w:pStyle w:val="Normal"/>
              <w:spacing w:before="0" w:after="160"/>
              <w:jc w:val="center"/>
              <w:rPr/>
            </w:pPr>
            <w:r>
              <w:rPr>
                <w:rFonts w:cs="Times New Roman" w:ascii="Times New Roman" w:hAnsi="Times New Roman"/>
                <w:color w:val="000000"/>
                <w:sz w:val="20"/>
                <w:szCs w:val="20"/>
              </w:rPr>
              <w:t>17 823,91</w:t>
            </w:r>
          </w:p>
        </w:tc>
      </w:tr>
    </w:tbl>
    <w:p>
      <w:pPr>
        <w:pStyle w:val="Normal"/>
        <w:jc w:val="center"/>
        <w:rPr>
          <w:rFonts w:ascii="Times New Roman" w:hAnsi="Times New Roman"/>
          <w:sz w:val="24"/>
        </w:rPr>
      </w:pPr>
      <w:r>
        <w:rPr>
          <w:rFonts w:ascii="Times New Roman" w:hAnsi="Times New Roman"/>
          <w:sz w:val="24"/>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t>Стандартизированные тарифные ставки (С2, С3, С4, С5, С6, С7, С8)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к электрическим сетям территориальных сетевых организаций Саратовской области, включающие расходы сетевой организации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на 202</w:t>
      </w:r>
      <w:r>
        <w:rPr>
          <w:rFonts w:ascii="Times New Roman" w:hAnsi="Times New Roman"/>
        </w:rPr>
        <w:t>5</w:t>
      </w:r>
      <w:r>
        <w:rPr>
          <w:rFonts w:ascii="Times New Roman" w:hAnsi="Times New Roman"/>
        </w:rPr>
        <w:t xml:space="preserve"> год.</w:t>
      </w:r>
    </w:p>
    <w:p>
      <w:pPr>
        <w:pStyle w:val="Normal"/>
        <w:spacing w:lineRule="auto" w:line="240" w:before="0" w:after="0"/>
        <w:jc w:val="right"/>
        <w:rPr>
          <w:rFonts w:ascii="Times New Roman" w:hAnsi="Times New Roman"/>
        </w:rPr>
      </w:pPr>
      <w:r>
        <w:rPr>
          <w:rFonts w:ascii="Times New Roman" w:hAnsi="Times New Roman"/>
        </w:rPr>
        <w:t xml:space="preserve">Таблица </w:t>
      </w:r>
      <w:r>
        <w:rPr>
          <w:rFonts w:ascii="Times New Roman" w:hAnsi="Times New Roman"/>
        </w:rPr>
        <w:t>3</w:t>
      </w:r>
      <w:r>
        <w:rPr>
          <w:rFonts w:ascii="Times New Roman" w:hAnsi="Times New Roman"/>
        </w:rPr>
        <w:t>.</w:t>
      </w:r>
    </w:p>
    <w:p>
      <w:pPr>
        <w:pStyle w:val="Normal"/>
        <w:spacing w:lineRule="auto" w:line="240" w:before="0" w:after="0"/>
        <w:jc w:val="right"/>
        <w:rPr>
          <w:rFonts w:ascii="Times New Roman" w:hAnsi="Times New Roman"/>
        </w:rPr>
      </w:pPr>
      <w:r>
        <w:rPr>
          <w:rFonts w:ascii="Times New Roman" w:hAnsi="Times New Roman"/>
        </w:rPr>
        <w:t>(без учета НДС)</w:t>
      </w:r>
    </w:p>
    <w:p>
      <w:pPr>
        <w:pStyle w:val="Normal"/>
        <w:spacing w:lineRule="auto" w:line="240" w:before="0" w:after="0"/>
        <w:jc w:val="right"/>
        <w:rPr>
          <w:rFonts w:ascii="Times New Roman" w:hAnsi="Times New Roman"/>
        </w:rPr>
      </w:pPr>
      <w:r>
        <w:rPr>
          <w:rFonts w:ascii="Times New Roman" w:hAnsi="Times New Roman"/>
        </w:rPr>
      </w:r>
    </w:p>
    <w:tbl>
      <w:tblPr>
        <w:tblW w:w="5000" w:type="pct"/>
        <w:jc w:val="left"/>
        <w:tblInd w:w="0" w:type="dxa"/>
        <w:tblLayout w:type="fixed"/>
        <w:tblCellMar>
          <w:top w:w="0" w:type="dxa"/>
          <w:left w:w="108" w:type="dxa"/>
          <w:bottom w:w="0" w:type="dxa"/>
          <w:right w:w="108" w:type="dxa"/>
        </w:tblCellMar>
      </w:tblPr>
      <w:tblGrid>
        <w:gridCol w:w="901"/>
        <w:gridCol w:w="2999"/>
        <w:gridCol w:w="1681"/>
        <w:gridCol w:w="1225"/>
        <w:gridCol w:w="1169"/>
        <w:gridCol w:w="2513"/>
      </w:tblGrid>
      <w:tr>
        <w:trPr>
          <w:trHeight w:val="1690" w:hRule="atLeast"/>
        </w:trPr>
        <w:tc>
          <w:tcPr>
            <w:tcW w:w="90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w:t>
            </w:r>
            <w:r>
              <w:rPr>
                <w:rFonts w:eastAsia="PT Astra Serif" w:cs="PT Astra Serif" w:ascii="PT Astra Serif" w:hAnsi="PT Astra Serif"/>
                <w:color w:val="000000"/>
                <w:sz w:val="20"/>
                <w:szCs w:val="20"/>
              </w:rPr>
              <w:t xml:space="preserve"> </w:t>
            </w:r>
            <w:r>
              <w:rPr>
                <w:rFonts w:cs="PT Astra Serif" w:ascii="PT Astra Serif" w:hAnsi="PT Astra Serif"/>
                <w:color w:val="000000"/>
                <w:sz w:val="20"/>
                <w:szCs w:val="20"/>
              </w:rPr>
              <w:t>п/п</w:t>
            </w:r>
          </w:p>
        </w:tc>
        <w:tc>
          <w:tcPr>
            <w:tcW w:w="2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Наименование мероприятия</w:t>
            </w:r>
          </w:p>
        </w:tc>
        <w:tc>
          <w:tcPr>
            <w:tcW w:w="168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Уровень напряжения в точке присоединения мощности Заявителя</w:t>
            </w:r>
          </w:p>
        </w:tc>
        <w:tc>
          <w:tcPr>
            <w:tcW w:w="122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Обознач.</w:t>
            </w:r>
          </w:p>
        </w:tc>
        <w:tc>
          <w:tcPr>
            <w:tcW w:w="116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xml:space="preserve">Ед. изм. </w:t>
            </w:r>
          </w:p>
        </w:tc>
        <w:tc>
          <w:tcPr>
            <w:tcW w:w="2513" w:type="dxa"/>
            <w:tcBorders>
              <w:top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Размер стандартизированных тарифных ставок</w:t>
            </w:r>
          </w:p>
        </w:tc>
      </w:tr>
      <w:tr>
        <w:trPr>
          <w:trHeight w:val="102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1.</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t>Стандартизированная тарифная ставка на покрытие расходов сетевой организации на строительство воздушных линий электропередачи в расчете на 1 км линий</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С2</w:t>
            </w:r>
          </w:p>
        </w:tc>
        <w:tc>
          <w:tcPr>
            <w:tcW w:w="1169" w:type="dxa"/>
            <w:vMerge w:val="restart"/>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руб./км</w:t>
            </w:r>
          </w:p>
        </w:tc>
        <w:tc>
          <w:tcPr>
            <w:tcW w:w="2513" w:type="dxa"/>
            <w:tcBorders>
              <w:top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1.1.</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изолированным алюминиевым проводом на деревянных опорах</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2.1.1.4.1.1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4 438 264,11</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2.1.1.4.1.1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8 220 005,97</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1.2.</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изолированным алюминиевым проводом на металлических опорах</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jc w:val="both"/>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2.2.1.4.1.1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4 103 875,95</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jc w:val="both"/>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2.2.1.4.2.1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4 059 147,18</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1.3.</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изолированным сталеалюминевым проводом на железобетонных опорах</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2.3.1.3.1.1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2 099 738,98</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2.3.1.3.1.1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3 474 737,92</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двухцепные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2.3.1.3.1.2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3 676 955,24</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2.3.1.3.2.1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2 011 419,26</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2.3.1.3.2.1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2 943 707,33</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двухцепные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2.3.1.3.2.2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1 445 431,48</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2.3.1.3.2.2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7 084 179,13</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сечением от 100 до 200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2.3.1.3.3.1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5 457 045,31</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2.3.1.3.3.1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2 086 012,18</w:t>
            </w:r>
          </w:p>
        </w:tc>
      </w:tr>
      <w:tr>
        <w:trPr>
          <w:trHeight w:val="61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1.4.</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изолированным алюминиевым проводом на железобетонных опорах</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2.3.1.4.1.1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1 658 315,96</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2.3.1.4.1.1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3 438 901,03</w:t>
            </w:r>
          </w:p>
        </w:tc>
      </w:tr>
      <w:tr>
        <w:trPr>
          <w:trHeight w:val="52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двухцепные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2.3.1.4.1.2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5 640 644,73</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2.3.1.4.2.1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1 726 250,16</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2.3.1.4.2.1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3 074 840,19</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двухцепные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2.3.1.4.2.2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2 117 402,39</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2.3.1.4.3.1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1 747 477,73</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2.3.1.4.3.1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4 944 907,23</w:t>
            </w:r>
          </w:p>
        </w:tc>
      </w:tr>
      <w:tr>
        <w:trPr>
          <w:trHeight w:val="60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200 до 250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2.3.1.4.4.1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1 201 225,70</w:t>
            </w:r>
          </w:p>
        </w:tc>
      </w:tr>
      <w:tr>
        <w:trPr>
          <w:trHeight w:val="61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1.5.</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неизолированным сталеалюминевым проводом на железобетонных опорах</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2.3.2.3.1.1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2 070 354,43</w:t>
            </w:r>
          </w:p>
        </w:tc>
      </w:tr>
      <w:tr>
        <w:trPr>
          <w:trHeight w:val="30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2.3.2.3.2.1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1 160 806,19</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СН1 (27,5-60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2.3.2.3.2.1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6 218 023,67</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одноцепные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2.3.2.3.3.1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3 588 232,18</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top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двухцепные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СН1 (110 кВ и выше)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2.3.2.3.3.2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79 213 686,95</w:t>
            </w:r>
          </w:p>
        </w:tc>
      </w:tr>
      <w:tr>
        <w:trPr>
          <w:trHeight w:val="102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 xml:space="preserve">2. </w:t>
            </w:r>
          </w:p>
        </w:tc>
        <w:tc>
          <w:tcPr>
            <w:tcW w:w="2999" w:type="dxa"/>
            <w:tcBorders>
              <w:top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t xml:space="preserve">Стандартизированная тарифная ставка на покрытие расходов сетевой организации на строительство кабельных линий электропередачи в расчете на 1 км линий </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С3</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2.1.</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в траншеях одножильным кабелем с резиновой и пластмассовой изоляцией</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С3</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tcBorders>
              <w:left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200 до 250 квадратных мм включительно с тремя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3.1.1.1.4.3</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13 137 040,52</w:t>
            </w:r>
          </w:p>
        </w:tc>
      </w:tr>
      <w:tr>
        <w:trPr>
          <w:trHeight w:val="510" w:hRule="atLeast"/>
        </w:trPr>
        <w:tc>
          <w:tcPr>
            <w:tcW w:w="901" w:type="dxa"/>
            <w:tcBorders>
              <w:top w:val="single" w:sz="4" w:space="0" w:color="000000"/>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top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250 до 300 квадратных мм включительно с более четырех кабелей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3.1.1.1.5.5</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19 832 138,83</w:t>
            </w:r>
          </w:p>
        </w:tc>
      </w:tr>
      <w:tr>
        <w:trPr>
          <w:trHeight w:val="510" w:hRule="atLeast"/>
        </w:trPr>
        <w:tc>
          <w:tcPr>
            <w:tcW w:w="90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2.2.</w:t>
            </w:r>
          </w:p>
        </w:tc>
        <w:tc>
          <w:tcPr>
            <w:tcW w:w="2999" w:type="dxa"/>
            <w:tcBorders>
              <w:top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в траншеях одножильным кабелем с бумажной изоляцией</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С3</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495" w:hRule="atLeast"/>
        </w:trPr>
        <w:tc>
          <w:tcPr>
            <w:tcW w:w="901" w:type="dxa"/>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3.1.1.2.1.1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1 259 351,22</w:t>
            </w:r>
          </w:p>
        </w:tc>
      </w:tr>
      <w:tr>
        <w:trPr>
          <w:trHeight w:val="510" w:hRule="atLeast"/>
        </w:trPr>
        <w:tc>
          <w:tcPr>
            <w:tcW w:w="901" w:type="dxa"/>
            <w:tcBorders>
              <w:top w:val="single" w:sz="4" w:space="0" w:color="000000"/>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top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3.1.1.2.2.1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3 071 749,86</w:t>
            </w:r>
          </w:p>
        </w:tc>
      </w:tr>
      <w:tr>
        <w:trPr>
          <w:trHeight w:val="510" w:hRule="atLeast"/>
        </w:trPr>
        <w:tc>
          <w:tcPr>
            <w:tcW w:w="90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2.3.</w:t>
            </w:r>
          </w:p>
        </w:tc>
        <w:tc>
          <w:tcPr>
            <w:tcW w:w="2999" w:type="dxa"/>
            <w:tcBorders>
              <w:top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в траншеях многожильным кабелем с резиновой и пластмассовой изоляцией</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С3</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4 307 189,10</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8 388 612,92</w:t>
            </w:r>
          </w:p>
        </w:tc>
      </w:tr>
      <w:tr>
        <w:trPr>
          <w:trHeight w:val="510" w:hRule="atLeast"/>
        </w:trPr>
        <w:tc>
          <w:tcPr>
            <w:tcW w:w="901" w:type="dxa"/>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3.1.2.1.1.2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4 286 743,89</w:t>
            </w:r>
          </w:p>
        </w:tc>
      </w:tr>
      <w:tr>
        <w:trPr>
          <w:trHeight w:val="510" w:hRule="atLeast"/>
        </w:trPr>
        <w:tc>
          <w:tcPr>
            <w:tcW w:w="90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3 701 233,56</w:t>
            </w:r>
          </w:p>
        </w:tc>
      </w:tr>
      <w:tr>
        <w:trPr>
          <w:trHeight w:val="300" w:hRule="atLeast"/>
        </w:trPr>
        <w:tc>
          <w:tcPr>
            <w:tcW w:w="9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6 873 139,84</w:t>
            </w:r>
          </w:p>
        </w:tc>
      </w:tr>
      <w:tr>
        <w:trPr>
          <w:trHeight w:val="510" w:hRule="atLeast"/>
        </w:trPr>
        <w:tc>
          <w:tcPr>
            <w:tcW w:w="901" w:type="dxa"/>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3.1.2.1.2.2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6 251 350,55</w:t>
            </w:r>
          </w:p>
        </w:tc>
      </w:tr>
      <w:tr>
        <w:trPr>
          <w:trHeight w:val="510" w:hRule="atLeast"/>
        </w:trPr>
        <w:tc>
          <w:tcPr>
            <w:tcW w:w="901" w:type="dxa"/>
            <w:tcBorders>
              <w:top w:val="single" w:sz="4" w:space="0" w:color="000000"/>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top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с четырьмя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3.1.2.1.2.4</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15 850 647,56</w:t>
            </w:r>
          </w:p>
        </w:tc>
      </w:tr>
      <w:tr>
        <w:trPr>
          <w:trHeight w:val="510" w:hRule="atLeast"/>
        </w:trPr>
        <w:tc>
          <w:tcPr>
            <w:tcW w:w="90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3 377 112,56</w:t>
            </w:r>
          </w:p>
        </w:tc>
      </w:tr>
      <w:tr>
        <w:trPr>
          <w:trHeight w:val="300" w:hRule="atLeast"/>
        </w:trPr>
        <w:tc>
          <w:tcPr>
            <w:tcW w:w="9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3 045 467,30</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3.1.2.1.3.2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5 616 998,62</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четырьмя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3.1.2.1.3.4</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11 867 745,83</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200 до 250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3.1.2.1.4.1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3 064 173,02</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3.1.2.1.4.1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5 561 128,76</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200 до 250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3.1.2.1.4.2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5 339 386,18</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pPr>
            <w:r>
              <w:rPr>
                <w:rFonts w:cs="PT Astra Serif" w:ascii="PT Astra Serif" w:hAnsi="PT Astra Serif"/>
                <w:color w:val="000000"/>
                <w:sz w:val="20"/>
                <w:szCs w:val="20"/>
              </w:rPr>
              <w:t>с сечением провода от 200 до 250 квадратных мм включительно с четырьмя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3.1.2.1.4.4</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14 571 087,87</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250 до 300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3.1.2.1.5.2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13 194 031,84</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300 до 400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3.1.2.1.6.2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13 836 159,51</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400 до 500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3.1.2.1.7.1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5 652 469,95</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2.4.</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в траншеях многожильным кабелем с бумажной изоляцией</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С3</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3 623 373,11</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3 898 215,47</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3.1.2.2.1.2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2 409 629,05</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5 226 357,74</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1 936 417,35</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3.1.2.2.2.2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7 295 515,67</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3.1.2.2.2.2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3 205 357,04</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7 166 163,68</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3 967 003,09</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3.1.2.2.3.2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8 910 238,93</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3.1.2.2.3.2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5 037 590,82</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четырьмя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3.1.2.2.3.4</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18 693 456,86</w:t>
            </w:r>
          </w:p>
        </w:tc>
      </w:tr>
      <w:tr>
        <w:trPr>
          <w:trHeight w:val="525" w:hRule="atLeast"/>
        </w:trPr>
        <w:tc>
          <w:tcPr>
            <w:tcW w:w="901" w:type="dxa"/>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pPr>
            <w:r>
              <w:rPr>
                <w:rFonts w:cs="PT Astra Serif" w:ascii="PT Astra Serif" w:hAnsi="PT Astra Serif"/>
                <w:color w:val="000000"/>
                <w:sz w:val="20"/>
                <w:szCs w:val="20"/>
              </w:rPr>
              <w:t>с сечением провода от 200 до 250 квадратных мм включительно с одним кабелем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3.1.2.2.4.1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3 900 717,95</w:t>
            </w:r>
          </w:p>
        </w:tc>
      </w:tr>
      <w:tr>
        <w:trPr>
          <w:trHeight w:val="525" w:hRule="atLeast"/>
        </w:trPr>
        <w:tc>
          <w:tcPr>
            <w:tcW w:w="90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200 до 250 квадратных мм включительно с двумя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3.1.2.2.4.2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14 259 428,34</w:t>
            </w:r>
          </w:p>
        </w:tc>
      </w:tr>
      <w:tr>
        <w:trPr>
          <w:trHeight w:val="300" w:hRule="atLeast"/>
        </w:trPr>
        <w:tc>
          <w:tcPr>
            <w:tcW w:w="9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3.1.2.2.4.2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4 756 890,53</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200 до 250 квадратных мм включительно с четырьмя кабелями в траншее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3.1.2.2.4.4</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7 029 402,94</w:t>
            </w:r>
          </w:p>
        </w:tc>
      </w:tr>
      <w:tr>
        <w:trPr>
          <w:trHeight w:val="76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2.5.</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xml:space="preserve">выполненные горизонтальным наклонным бурением многожильным кабелем с резиновой и пластмассовой изоляцией </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С3</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до 50 квадратных мм включительно с одним кабелем в скважине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3.6.2.1.1.1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8 005 884,48</w:t>
            </w:r>
          </w:p>
        </w:tc>
      </w:tr>
      <w:tr>
        <w:trPr>
          <w:trHeight w:val="435" w:hRule="atLeast"/>
        </w:trPr>
        <w:tc>
          <w:tcPr>
            <w:tcW w:w="90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pPr>
            <w:r>
              <w:rPr>
                <w:rFonts w:cs="PT Astra Serif" w:ascii="PT Astra Serif" w:hAnsi="PT Astra Serif"/>
                <w:color w:val="000000"/>
                <w:sz w:val="20"/>
                <w:szCs w:val="20"/>
              </w:rPr>
              <w:t>с сечением провода от 50 до 100 квадратных мм включительно с одной трубой в скважине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3.6.2.1.2.1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6 188 288,66</w:t>
            </w:r>
          </w:p>
        </w:tc>
      </w:tr>
      <w:tr>
        <w:trPr>
          <w:trHeight w:val="300" w:hRule="atLeast"/>
        </w:trPr>
        <w:tc>
          <w:tcPr>
            <w:tcW w:w="9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3.6.2.1.2.1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7 403 096,13</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одной трубой в скважине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3.6.2.1.3.1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6 801 821,24</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3.6.2.1.3.1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11 228 924,70</w:t>
            </w:r>
          </w:p>
        </w:tc>
      </w:tr>
      <w:tr>
        <w:trPr>
          <w:trHeight w:val="510" w:hRule="atLeast"/>
        </w:trPr>
        <w:tc>
          <w:tcPr>
            <w:tcW w:w="901" w:type="dxa"/>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двумя трубами в скважине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3.6.2.1.3.2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9 288 432,17</w:t>
            </w:r>
          </w:p>
        </w:tc>
      </w:tr>
      <w:tr>
        <w:trPr>
          <w:trHeight w:val="510" w:hRule="atLeast"/>
        </w:trPr>
        <w:tc>
          <w:tcPr>
            <w:tcW w:w="901" w:type="dxa"/>
            <w:tcBorders>
              <w:top w:val="single" w:sz="4" w:space="0" w:color="000000"/>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top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xml:space="preserve">с сечением провода от 100 до 200 квадратных мм включительно с четырьмя трубами в скважине </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3.6.2.1.3.4</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14 077 949,28</w:t>
            </w:r>
          </w:p>
        </w:tc>
      </w:tr>
      <w:tr>
        <w:trPr>
          <w:trHeight w:val="765" w:hRule="atLeast"/>
        </w:trPr>
        <w:tc>
          <w:tcPr>
            <w:tcW w:w="90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2.6.</w:t>
            </w:r>
          </w:p>
        </w:tc>
        <w:tc>
          <w:tcPr>
            <w:tcW w:w="2999" w:type="dxa"/>
            <w:tcBorders>
              <w:top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выполненные горизонтальным наклонным бурением многожильным кабелем с бумажной изоляцией</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С3</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х</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50 до 100 квадратных мм включительно с одной трубой в скважине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3.6.2.2.2.1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7 392 580,23</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xml:space="preserve">с сечением провода от 50 до 100 квадратных мм включительно с четырьмя трубами в скважине </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3.6.2.2.2.4</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16 920 340,44</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одной трубой в скважине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3.6.2.2.3.1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5 629 900,19</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3.6.2.2.3.1</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5 899 410,51</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сечением провода от 100 до 200 квадратных мм включительно с двумя трубами в скважине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3.6.2.2.3.2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10 023 235,61</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(1-10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3.6.2.2.3.2</w:t>
            </w:r>
          </w:p>
        </w:tc>
        <w:tc>
          <w:tcPr>
            <w:tcW w:w="1169" w:type="dxa"/>
            <w:vMerge w:val="continue"/>
            <w:tcBorders>
              <w:left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9 088 165,36</w:t>
            </w:r>
          </w:p>
        </w:tc>
      </w:tr>
      <w:tr>
        <w:trPr>
          <w:trHeight w:val="127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 xml:space="preserve">3.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t>Стандартизированная тарифная ставка  на покрытие расходов сетевой организации на строительство пунктов секционирования (реклоузеров, распределительных пунктов, переключательных пунктов)</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С4</w:t>
            </w:r>
          </w:p>
        </w:tc>
        <w:tc>
          <w:tcPr>
            <w:tcW w:w="116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руб./шт.</w:t>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3.1.</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реклоузеры номинальным током до 100 А</w:t>
              <w:br/>
              <w:t>включительно</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4.1.1</w:t>
            </w:r>
          </w:p>
        </w:tc>
        <w:tc>
          <w:tcPr>
            <w:tcW w:w="11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2 218 140,00</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3.2.</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реклоузеры номинальным током от 250 до 500 А</w:t>
              <w:br/>
              <w:t>включительно</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4.1.3</w:t>
            </w:r>
          </w:p>
        </w:tc>
        <w:tc>
          <w:tcPr>
            <w:tcW w:w="11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2 025 561,33</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3.3.</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реклоузеры номинальным током от 500 до 1000 А включительно</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4.1.4</w:t>
            </w:r>
          </w:p>
        </w:tc>
        <w:tc>
          <w:tcPr>
            <w:tcW w:w="11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2 300 166,98</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3.4.</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линейные разъединители номинальным током от 250 до 500 А включительно</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4.2.3</w:t>
            </w:r>
          </w:p>
        </w:tc>
        <w:tc>
          <w:tcPr>
            <w:tcW w:w="11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19 981,71</w:t>
            </w:r>
          </w:p>
        </w:tc>
      </w:tr>
      <w:tr>
        <w:trPr>
          <w:trHeight w:val="132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3.5.</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распределительные пункты (РП), за исключением комплектных распределительных устройств наружной установки (КРН, КРУН), номинальным током от 250 до 500 А включительно с количеством ячеек от 5 до 10 включительно</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4.4.3.2</w:t>
            </w:r>
          </w:p>
        </w:tc>
        <w:tc>
          <w:tcPr>
            <w:tcW w:w="11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103 819,40</w:t>
            </w:r>
          </w:p>
        </w:tc>
      </w:tr>
      <w:tr>
        <w:trPr>
          <w:trHeight w:val="100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3.6.</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комплектные распределительные устройства наружной установки (КРН, КРУН), номинальным током от 500 до 1000 А включительно с количеством ячеек до 5 включительно</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4.5.4.1</w:t>
            </w:r>
          </w:p>
        </w:tc>
        <w:tc>
          <w:tcPr>
            <w:tcW w:w="11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2 292 945,33</w:t>
            </w:r>
          </w:p>
        </w:tc>
      </w:tr>
      <w:tr>
        <w:trPr>
          <w:trHeight w:val="115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3.7.</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комплектные распределительные устройства наружной установки (КРН, КРУН), номинальным током свыше 1000 А с количеством ячеек до 5 включительно</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(1-20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4.5.5.1</w:t>
            </w:r>
          </w:p>
        </w:tc>
        <w:tc>
          <w:tcPr>
            <w:tcW w:w="11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552 516,24</w:t>
            </w:r>
          </w:p>
        </w:tc>
      </w:tr>
      <w:tr>
        <w:trPr>
          <w:trHeight w:val="127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 xml:space="preserve">4.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t>Стандартизированная тарифная ставка на покрытие расходов сетевой организации на строительство трансформаторных подстанций (ТП), за исключением распределительных трансформаторных подстанций (РТП), с уровнем напряжения до 35 кВ</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С5</w:t>
            </w:r>
          </w:p>
        </w:tc>
        <w:tc>
          <w:tcPr>
            <w:tcW w:w="1169"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руб./кВт</w:t>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r>
      <w:tr>
        <w:trPr>
          <w:trHeight w:val="30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4.1.</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xml:space="preserve">однотрансформаторные </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С5</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r>
      <w:tr>
        <w:trPr>
          <w:trHeight w:val="30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до 25 кВА включительно столбового/мачтового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5.1.1.1</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50 309,40</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5.1.1.1</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56 149,58</w:t>
            </w:r>
          </w:p>
        </w:tc>
      </w:tr>
      <w:tr>
        <w:trPr>
          <w:trHeight w:val="30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до 25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5.1.1.2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54 350,75</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5.1.1.2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70 026,94</w:t>
            </w:r>
          </w:p>
        </w:tc>
      </w:tr>
      <w:tr>
        <w:trPr>
          <w:trHeight w:val="30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25 до 100 кВА включительно столбового/мачтового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5.1.2.1</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17 858,16</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5.1.2.1</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27 133,33</w:t>
            </w:r>
          </w:p>
        </w:tc>
      </w:tr>
      <w:tr>
        <w:trPr>
          <w:trHeight w:val="30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25 до 100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5.1.2.2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33 798,41</w:t>
            </w:r>
          </w:p>
        </w:tc>
      </w:tr>
      <w:tr>
        <w:trPr>
          <w:trHeight w:val="51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5.1.2.2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28 370,87</w:t>
            </w:r>
          </w:p>
        </w:tc>
      </w:tr>
      <w:tr>
        <w:trPr>
          <w:trHeight w:val="30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100 до 250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5.1.3.2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11 486,39</w:t>
            </w:r>
          </w:p>
        </w:tc>
      </w:tr>
      <w:tr>
        <w:trPr>
          <w:trHeight w:val="51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5.1.3.2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13 849,12</w:t>
            </w:r>
          </w:p>
        </w:tc>
      </w:tr>
      <w:tr>
        <w:trPr>
          <w:trHeight w:val="510" w:hRule="atLeast"/>
        </w:trPr>
        <w:tc>
          <w:tcPr>
            <w:tcW w:w="901" w:type="dxa"/>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100 до 250 кВА включительно блочного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5.1.3.3</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3 508,19</w:t>
            </w:r>
          </w:p>
        </w:tc>
      </w:tr>
      <w:tr>
        <w:trPr>
          <w:trHeight w:val="510" w:hRule="atLeast"/>
        </w:trPr>
        <w:tc>
          <w:tcPr>
            <w:tcW w:w="90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 xml:space="preserve">с трансформаторной мощностью от 250 до 400 кВА включительно шкафного или киоскового типа </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5.1.4.2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6 651,23</w:t>
            </w:r>
          </w:p>
        </w:tc>
      </w:tr>
      <w:tr>
        <w:trPr>
          <w:trHeight w:val="300" w:hRule="atLeast"/>
        </w:trPr>
        <w:tc>
          <w:tcPr>
            <w:tcW w:w="9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5.1.4.2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7 466,86</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400 до 630 кВА</w:t>
              <w:br/>
              <w:t xml:space="preserve">включительно  шкафного или киоскового типа </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5.1.5.2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1 790,07</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5.1.5.2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6 857,56</w:t>
            </w:r>
          </w:p>
        </w:tc>
      </w:tr>
      <w:tr>
        <w:trPr>
          <w:trHeight w:val="525" w:hRule="atLeast"/>
        </w:trPr>
        <w:tc>
          <w:tcPr>
            <w:tcW w:w="901" w:type="dxa"/>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630 до 1000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5.1.6.2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127 270,64</w:t>
            </w:r>
          </w:p>
        </w:tc>
      </w:tr>
      <w:tr>
        <w:trPr>
          <w:trHeight w:val="300" w:hRule="atLeast"/>
        </w:trPr>
        <w:tc>
          <w:tcPr>
            <w:tcW w:w="90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4.2.</w:t>
            </w:r>
          </w:p>
        </w:tc>
        <w:tc>
          <w:tcPr>
            <w:tcW w:w="2999" w:type="dxa"/>
            <w:tcBorders>
              <w:top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двухтрансформаторные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С5</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r>
      <w:tr>
        <w:trPr>
          <w:trHeight w:val="55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25 до 100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5.2.2.2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45 788,44</w:t>
            </w:r>
          </w:p>
        </w:tc>
      </w:tr>
      <w:tr>
        <w:trPr>
          <w:trHeight w:val="30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100 до 250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5.2.3.2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24 921,15</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5.2.3.2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52 941,54</w:t>
            </w:r>
          </w:p>
        </w:tc>
      </w:tr>
      <w:tr>
        <w:trPr>
          <w:trHeight w:val="600" w:hRule="atLeast"/>
        </w:trPr>
        <w:tc>
          <w:tcPr>
            <w:tcW w:w="901" w:type="dxa"/>
            <w:tcBorders>
              <w:left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100 до 250 кВА включительно блочного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5.2.3.2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15 939,65</w:t>
            </w:r>
          </w:p>
        </w:tc>
      </w:tr>
      <w:tr>
        <w:trPr>
          <w:trHeight w:val="600" w:hRule="atLeast"/>
        </w:trPr>
        <w:tc>
          <w:tcPr>
            <w:tcW w:w="901" w:type="dxa"/>
            <w:vMerge w:val="restart"/>
            <w:tcBorders>
              <w:top w:val="single" w:sz="4" w:space="0" w:color="000000"/>
              <w:left w:val="single" w:sz="4" w:space="0" w:color="000000"/>
              <w:bottom w:val="single" w:sz="4" w:space="0" w:color="000000"/>
              <w:right w:val="single" w:sz="4" w:space="0" w:color="000000"/>
            </w:tcBorders>
            <w:vAlign w:val="bottom"/>
          </w:tcPr>
          <w:p>
            <w:pPr>
              <w:pStyle w:val="Normal"/>
              <w:spacing w:before="0" w:after="160"/>
              <w:jc w:val="center"/>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250 до 400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5.2.4.2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sz w:val="20"/>
                <w:szCs w:val="20"/>
              </w:rPr>
            </w:pPr>
            <w:r>
              <w:rPr>
                <w:rFonts w:cs="PT Astra Serif" w:ascii="PT Astra Serif" w:hAnsi="PT Astra Serif"/>
                <w:sz w:val="20"/>
                <w:szCs w:val="20"/>
              </w:rPr>
              <w:t>17 081,22</w:t>
            </w:r>
          </w:p>
        </w:tc>
      </w:tr>
      <w:tr>
        <w:trPr>
          <w:trHeight w:val="510" w:hRule="atLeast"/>
        </w:trPr>
        <w:tc>
          <w:tcPr>
            <w:tcW w:w="901" w:type="dxa"/>
            <w:vMerge w:val="continue"/>
            <w:tcBorders>
              <w:top w:val="single" w:sz="4" w:space="0" w:color="000000"/>
              <w:left w:val="single" w:sz="4" w:space="0" w:color="000000"/>
              <w:bottom w:val="single" w:sz="4" w:space="0" w:color="000000"/>
              <w:right w:val="single" w:sz="4" w:space="0" w:color="000000"/>
            </w:tcBorders>
            <w:vAlign w:val="bottom"/>
          </w:tcPr>
          <w:p>
            <w:pPr>
              <w:pStyle w:val="Normal"/>
              <w:snapToGrid w:val="false"/>
              <w:spacing w:before="0" w:after="160"/>
              <w:rPr>
                <w:rFonts w:ascii="PT Astra Serif" w:hAnsi="PT Astra Serif" w:cs="Calibri"/>
                <w:color w:val="000000"/>
                <w:sz w:val="20"/>
                <w:szCs w:val="20"/>
              </w:rPr>
            </w:pPr>
            <w:r>
              <w:rPr>
                <w:rFonts w:cs="Calibri" w:ascii="PT Astra Serif" w:hAnsi="PT Astra Serif"/>
                <w:color w:val="000000"/>
                <w:sz w:val="20"/>
                <w:szCs w:val="20"/>
              </w:rPr>
            </w:r>
          </w:p>
        </w:tc>
        <w:tc>
          <w:tcPr>
            <w:tcW w:w="29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5.2.4.2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sz w:val="20"/>
                <w:szCs w:val="20"/>
              </w:rPr>
            </w:pPr>
            <w:r>
              <w:rPr>
                <w:rFonts w:cs="PT Astra Serif" w:ascii="PT Astra Serif" w:hAnsi="PT Astra Serif"/>
                <w:sz w:val="20"/>
                <w:szCs w:val="20"/>
              </w:rPr>
              <w:t>12 768,88</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bottom"/>
          </w:tcPr>
          <w:p>
            <w:pPr>
              <w:pStyle w:val="Normal"/>
              <w:spacing w:before="0" w:after="160"/>
              <w:jc w:val="center"/>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250 до 400 кВА включительно блочного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5.2.4.3</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sz w:val="20"/>
                <w:szCs w:val="20"/>
              </w:rPr>
            </w:pPr>
            <w:r>
              <w:rPr>
                <w:rFonts w:cs="PT Astra Serif" w:ascii="PT Astra Serif" w:hAnsi="PT Astra Serif"/>
                <w:sz w:val="20"/>
                <w:szCs w:val="20"/>
              </w:rPr>
              <w:t>13 618,01</w:t>
            </w:r>
          </w:p>
        </w:tc>
      </w:tr>
      <w:tr>
        <w:trPr>
          <w:trHeight w:val="510" w:hRule="atLeast"/>
        </w:trPr>
        <w:tc>
          <w:tcPr>
            <w:tcW w:w="901" w:type="dxa"/>
            <w:vMerge w:val="continue"/>
            <w:tcBorders>
              <w:left w:val="single" w:sz="4" w:space="0" w:color="000000"/>
              <w:bottom w:val="single" w:sz="4" w:space="0" w:color="000000"/>
              <w:right w:val="single" w:sz="4" w:space="0" w:color="000000"/>
            </w:tcBorders>
            <w:vAlign w:val="bottom"/>
          </w:tcPr>
          <w:p>
            <w:pPr>
              <w:pStyle w:val="Normal"/>
              <w:snapToGrid w:val="false"/>
              <w:spacing w:before="0" w:after="160"/>
              <w:rPr>
                <w:rFonts w:ascii="PT Astra Serif" w:hAnsi="PT Astra Serif" w:cs="Calibri"/>
                <w:color w:val="000000"/>
                <w:sz w:val="20"/>
                <w:szCs w:val="20"/>
              </w:rPr>
            </w:pPr>
            <w:r>
              <w:rPr>
                <w:rFonts w:cs="Calibri"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5.2.4.3</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sz w:val="20"/>
                <w:szCs w:val="20"/>
              </w:rPr>
            </w:pPr>
            <w:r>
              <w:rPr>
                <w:rFonts w:cs="PT Astra Serif" w:ascii="PT Astra Serif" w:hAnsi="PT Astra Serif"/>
                <w:sz w:val="20"/>
                <w:szCs w:val="20"/>
              </w:rPr>
              <w:t>5 587,68</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bottom"/>
          </w:tcPr>
          <w:p>
            <w:pPr>
              <w:pStyle w:val="Normal"/>
              <w:spacing w:before="0" w:after="160"/>
              <w:jc w:val="center"/>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400 до 630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5.2.5.2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10 454,84</w:t>
            </w:r>
          </w:p>
        </w:tc>
      </w:tr>
      <w:tr>
        <w:trPr>
          <w:trHeight w:val="510" w:hRule="atLeast"/>
        </w:trPr>
        <w:tc>
          <w:tcPr>
            <w:tcW w:w="901" w:type="dxa"/>
            <w:vMerge w:val="continue"/>
            <w:tcBorders>
              <w:left w:val="single" w:sz="4" w:space="0" w:color="000000"/>
              <w:bottom w:val="single" w:sz="4" w:space="0" w:color="000000"/>
              <w:right w:val="single" w:sz="4" w:space="0" w:color="000000"/>
            </w:tcBorders>
            <w:vAlign w:val="bottom"/>
          </w:tcPr>
          <w:p>
            <w:pPr>
              <w:pStyle w:val="Normal"/>
              <w:snapToGrid w:val="false"/>
              <w:spacing w:before="0" w:after="160"/>
              <w:rPr>
                <w:rFonts w:ascii="PT Astra Serif" w:hAnsi="PT Astra Serif" w:cs="Calibri"/>
                <w:color w:val="000000"/>
                <w:sz w:val="20"/>
                <w:szCs w:val="20"/>
              </w:rPr>
            </w:pPr>
            <w:r>
              <w:rPr>
                <w:rFonts w:cs="Calibri"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5.2.5.2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11 212,88</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bottom"/>
          </w:tcPr>
          <w:p>
            <w:pPr>
              <w:pStyle w:val="Normal"/>
              <w:spacing w:before="0" w:after="160"/>
              <w:jc w:val="center"/>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400 до 630 кВА включительно блочного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5.2.5.3</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8 785,52</w:t>
            </w:r>
          </w:p>
        </w:tc>
      </w:tr>
      <w:tr>
        <w:trPr>
          <w:trHeight w:val="510" w:hRule="atLeast"/>
        </w:trPr>
        <w:tc>
          <w:tcPr>
            <w:tcW w:w="901" w:type="dxa"/>
            <w:vMerge w:val="continue"/>
            <w:tcBorders>
              <w:left w:val="single" w:sz="4" w:space="0" w:color="000000"/>
              <w:bottom w:val="single" w:sz="4" w:space="0" w:color="000000"/>
              <w:right w:val="single" w:sz="4" w:space="0" w:color="000000"/>
            </w:tcBorders>
            <w:vAlign w:val="bottom"/>
          </w:tcPr>
          <w:p>
            <w:pPr>
              <w:pStyle w:val="Normal"/>
              <w:snapToGrid w:val="false"/>
              <w:spacing w:before="0" w:after="160"/>
              <w:rPr>
                <w:rFonts w:ascii="PT Astra Serif" w:hAnsi="PT Astra Serif" w:cs="Calibri"/>
                <w:color w:val="000000"/>
                <w:sz w:val="20"/>
                <w:szCs w:val="20"/>
              </w:rPr>
            </w:pPr>
            <w:r>
              <w:rPr>
                <w:rFonts w:cs="Calibri"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5.2.5.3</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10 168,58</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bottom"/>
          </w:tcPr>
          <w:p>
            <w:pPr>
              <w:pStyle w:val="Normal"/>
              <w:spacing w:before="0" w:after="160"/>
              <w:jc w:val="center"/>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630 до 1000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5.2.6.2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6 303,29</w:t>
            </w:r>
          </w:p>
        </w:tc>
      </w:tr>
      <w:tr>
        <w:trPr>
          <w:trHeight w:val="510" w:hRule="atLeast"/>
        </w:trPr>
        <w:tc>
          <w:tcPr>
            <w:tcW w:w="901" w:type="dxa"/>
            <w:vMerge w:val="continue"/>
            <w:tcBorders>
              <w:left w:val="single" w:sz="4" w:space="0" w:color="000000"/>
              <w:bottom w:val="single" w:sz="4" w:space="0" w:color="000000"/>
              <w:right w:val="single" w:sz="4" w:space="0" w:color="000000"/>
            </w:tcBorders>
            <w:vAlign w:val="bottom"/>
          </w:tcPr>
          <w:p>
            <w:pPr>
              <w:pStyle w:val="Normal"/>
              <w:snapToGrid w:val="false"/>
              <w:spacing w:before="0" w:after="160"/>
              <w:rPr>
                <w:rFonts w:ascii="PT Astra Serif" w:hAnsi="PT Astra Serif" w:cs="Calibri"/>
                <w:color w:val="000000"/>
                <w:sz w:val="20"/>
                <w:szCs w:val="20"/>
              </w:rPr>
            </w:pPr>
            <w:r>
              <w:rPr>
                <w:rFonts w:cs="Calibri"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5.2.6.2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25 341,39</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bottom"/>
          </w:tcPr>
          <w:p>
            <w:pPr>
              <w:pStyle w:val="Normal"/>
              <w:spacing w:before="0" w:after="160"/>
              <w:jc w:val="center"/>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630 до 1000 кВА включительно блочного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5.2.6.3</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4 413,84</w:t>
            </w:r>
          </w:p>
        </w:tc>
      </w:tr>
      <w:tr>
        <w:trPr>
          <w:trHeight w:val="510" w:hRule="atLeast"/>
        </w:trPr>
        <w:tc>
          <w:tcPr>
            <w:tcW w:w="901" w:type="dxa"/>
            <w:vMerge w:val="continue"/>
            <w:tcBorders>
              <w:left w:val="single" w:sz="4" w:space="0" w:color="000000"/>
              <w:bottom w:val="single" w:sz="4" w:space="0" w:color="000000"/>
              <w:right w:val="single" w:sz="4" w:space="0" w:color="000000"/>
            </w:tcBorders>
            <w:vAlign w:val="bottom"/>
          </w:tcPr>
          <w:p>
            <w:pPr>
              <w:pStyle w:val="Normal"/>
              <w:snapToGrid w:val="false"/>
              <w:spacing w:before="0" w:after="160"/>
              <w:rPr>
                <w:rFonts w:ascii="PT Astra Serif" w:hAnsi="PT Astra Serif" w:cs="Calibri"/>
                <w:color w:val="000000"/>
                <w:sz w:val="20"/>
                <w:szCs w:val="20"/>
              </w:rPr>
            </w:pPr>
            <w:r>
              <w:rPr>
                <w:rFonts w:cs="Calibri"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5.2.6.3</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6 517,75</w:t>
            </w:r>
          </w:p>
        </w:tc>
      </w:tr>
      <w:tr>
        <w:trPr>
          <w:trHeight w:val="510" w:hRule="atLeast"/>
        </w:trPr>
        <w:tc>
          <w:tcPr>
            <w:tcW w:w="901" w:type="dxa"/>
            <w:tcBorders>
              <w:left w:val="single" w:sz="4" w:space="0" w:color="000000"/>
              <w:bottom w:val="single" w:sz="4" w:space="0" w:color="000000"/>
              <w:right w:val="single" w:sz="4" w:space="0" w:color="000000"/>
            </w:tcBorders>
            <w:vAlign w:val="bottom"/>
          </w:tcPr>
          <w:p>
            <w:pPr>
              <w:pStyle w:val="Normal"/>
              <w:spacing w:before="0" w:after="160"/>
              <w:jc w:val="center"/>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1000 до 1250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5.2.7.2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7 186,20</w:t>
            </w:r>
          </w:p>
        </w:tc>
      </w:tr>
      <w:tr>
        <w:trPr>
          <w:trHeight w:val="510" w:hRule="atLeast"/>
        </w:trPr>
        <w:tc>
          <w:tcPr>
            <w:tcW w:w="901" w:type="dxa"/>
            <w:tcBorders>
              <w:left w:val="single" w:sz="4" w:space="0" w:color="000000"/>
              <w:bottom w:val="single" w:sz="4" w:space="0" w:color="000000"/>
              <w:right w:val="single" w:sz="4" w:space="0" w:color="000000"/>
            </w:tcBorders>
            <w:vAlign w:val="bottom"/>
          </w:tcPr>
          <w:p>
            <w:pPr>
              <w:pStyle w:val="Normal"/>
              <w:spacing w:before="0" w:after="160"/>
              <w:jc w:val="center"/>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1250 до 1600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5.2.8.2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5 207,76</w:t>
            </w:r>
          </w:p>
        </w:tc>
      </w:tr>
      <w:tr>
        <w:trPr>
          <w:trHeight w:val="510" w:hRule="atLeast"/>
        </w:trPr>
        <w:tc>
          <w:tcPr>
            <w:tcW w:w="901" w:type="dxa"/>
            <w:tcBorders>
              <w:left w:val="single" w:sz="4" w:space="0" w:color="000000"/>
              <w:bottom w:val="single" w:sz="4" w:space="0" w:color="000000"/>
              <w:right w:val="single" w:sz="4" w:space="0" w:color="000000"/>
            </w:tcBorders>
            <w:vAlign w:val="bottom"/>
          </w:tcPr>
          <w:p>
            <w:pPr>
              <w:pStyle w:val="Normal"/>
              <w:spacing w:before="0" w:after="160"/>
              <w:jc w:val="center"/>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1600 до 2000 кВА включительно шкафного или киоскового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5.2.9.2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6 419,22</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 xml:space="preserve">5.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t>Стандартизированная тарифная ставка на покрытие расходов сетевой организации на строительство распределительных трансформаторных подстанций (РТП) с уровнем напряжения до 35 кВ</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С6</w:t>
            </w:r>
          </w:p>
        </w:tc>
        <w:tc>
          <w:tcPr>
            <w:tcW w:w="1169"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руб./кВт</w:t>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r>
      <w:tr>
        <w:trPr>
          <w:trHeight w:val="30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5.1.</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двухтрансформаторные</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С6</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r>
      <w:tr>
        <w:trPr>
          <w:trHeight w:val="510"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100 до 250 кВА включительно закрытого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6.2.3.2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49 032,22</w:t>
            </w:r>
          </w:p>
        </w:tc>
      </w:tr>
      <w:tr>
        <w:trPr>
          <w:trHeight w:val="510" w:hRule="atLeast"/>
        </w:trPr>
        <w:tc>
          <w:tcPr>
            <w:tcW w:w="901" w:type="dxa"/>
            <w:tcBorders>
              <w:left w:val="single" w:sz="4" w:space="0" w:color="000000"/>
              <w:bottom w:val="single" w:sz="4" w:space="0" w:color="000000"/>
              <w:right w:val="single" w:sz="4" w:space="0" w:color="000000"/>
            </w:tcBorders>
            <w:vAlign w:val="bottom"/>
          </w:tcPr>
          <w:p>
            <w:pPr>
              <w:pStyle w:val="Normal"/>
              <w:spacing w:before="0" w:after="160"/>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400 до 630 кВА включительно  закрытого типа</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6.2.5.2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26 910,45</w:t>
            </w:r>
          </w:p>
        </w:tc>
      </w:tr>
      <w:tr>
        <w:trPr>
          <w:trHeight w:val="510" w:hRule="atLeast"/>
        </w:trPr>
        <w:tc>
          <w:tcPr>
            <w:tcW w:w="901" w:type="dxa"/>
            <w:tcBorders>
              <w:left w:val="single" w:sz="4" w:space="0" w:color="000000"/>
              <w:bottom w:val="single" w:sz="4" w:space="0" w:color="000000"/>
              <w:right w:val="single" w:sz="4" w:space="0" w:color="000000"/>
            </w:tcBorders>
            <w:vAlign w:val="bottom"/>
          </w:tcPr>
          <w:p>
            <w:pPr>
              <w:pStyle w:val="Normal"/>
              <w:spacing w:before="0" w:after="160"/>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 трансформаторной мощностью от 630 до 1000 кВА включительно</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6.2.6.2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12 920,03</w:t>
            </w:r>
          </w:p>
        </w:tc>
      </w:tr>
      <w:tr>
        <w:trPr>
          <w:trHeight w:val="510" w:hRule="atLeast"/>
        </w:trPr>
        <w:tc>
          <w:tcPr>
            <w:tcW w:w="901" w:type="dxa"/>
            <w:tcBorders>
              <w:left w:val="single" w:sz="4" w:space="0" w:color="000000"/>
              <w:bottom w:val="single" w:sz="4" w:space="0" w:color="000000"/>
              <w:right w:val="single" w:sz="4" w:space="0" w:color="000000"/>
            </w:tcBorders>
            <w:vAlign w:val="bottom"/>
          </w:tcPr>
          <w:p>
            <w:pPr>
              <w:pStyle w:val="Normal"/>
              <w:spacing w:before="0" w:after="160"/>
              <w:rPr>
                <w:rFonts w:ascii="PT Astra Serif" w:hAnsi="PT Astra Serif" w:cs="Calibri"/>
                <w:color w:val="000000"/>
                <w:sz w:val="20"/>
                <w:szCs w:val="20"/>
              </w:rPr>
            </w:pPr>
            <w:r>
              <w:rPr>
                <w:rFonts w:cs="Calibri"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pPr>
            <w:r>
              <w:rPr>
                <w:rFonts w:cs="PT Astra Serif" w:ascii="PT Astra Serif" w:hAnsi="PT Astra Serif"/>
                <w:color w:val="000000"/>
                <w:sz w:val="20"/>
                <w:szCs w:val="20"/>
              </w:rPr>
              <w:t>с трансформаторной мощностью от 1000 до 1250 кВА включительно</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6(10)/0,4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6.2.6.2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7 724,78</w:t>
            </w:r>
          </w:p>
        </w:tc>
      </w:tr>
      <w:tr>
        <w:trPr>
          <w:trHeight w:val="171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 xml:space="preserve">6.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b/>
                <w:bCs/>
                <w:color w:val="000000"/>
                <w:sz w:val="20"/>
                <w:szCs w:val="20"/>
              </w:rPr>
            </w:pPr>
            <w:r>
              <w:rPr>
                <w:rFonts w:cs="PT Astra Serif" w:ascii="PT Astra Serif" w:hAnsi="PT Astra Serif"/>
                <w:b/>
                <w:bCs/>
                <w:color w:val="000000"/>
                <w:sz w:val="20"/>
                <w:szCs w:val="20"/>
              </w:rPr>
              <w:t>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c>
          <w:tcPr>
            <w:tcW w:w="1225"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С8</w:t>
            </w:r>
          </w:p>
        </w:tc>
        <w:tc>
          <w:tcPr>
            <w:tcW w:w="1169"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рублей за точку учета</w:t>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b/>
                <w:bCs/>
                <w:color w:val="000000"/>
                <w:sz w:val="20"/>
                <w:szCs w:val="20"/>
              </w:rPr>
            </w:pPr>
            <w:r>
              <w:rPr>
                <w:rFonts w:cs="PT Astra Serif" w:ascii="PT Astra Serif" w:hAnsi="PT Astra Serif"/>
                <w:b/>
                <w:bCs/>
                <w:color w:val="000000"/>
                <w:sz w:val="20"/>
                <w:szCs w:val="20"/>
              </w:rPr>
              <w:t>х</w:t>
            </w:r>
          </w:p>
        </w:tc>
      </w:tr>
      <w:tr>
        <w:trPr>
          <w:trHeight w:val="76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средства коммерческого учета электрической энергии (мощности) однофазные прямого включения</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8.1.1</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19 654,50</w:t>
            </w:r>
          </w:p>
        </w:tc>
      </w:tr>
      <w:tr>
        <w:trPr>
          <w:trHeight w:val="510" w:hRule="atLeast"/>
        </w:trPr>
        <w:tc>
          <w:tcPr>
            <w:tcW w:w="901" w:type="dxa"/>
            <w:vMerge w:val="restart"/>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vMerge w:val="restart"/>
            <w:tcBorders>
              <w:left w:val="single" w:sz="4" w:space="0" w:color="000000"/>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средства коммерческого учета электрической энергии (мощности) трехфазные прямого включения</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8.2.1</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34 455,50</w:t>
            </w:r>
          </w:p>
        </w:tc>
      </w:tr>
      <w:tr>
        <w:trPr>
          <w:trHeight w:val="300" w:hRule="atLeast"/>
        </w:trPr>
        <w:tc>
          <w:tcPr>
            <w:tcW w:w="901"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99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(20-1кВ)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8.2.1</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426 069,00</w:t>
            </w:r>
          </w:p>
        </w:tc>
      </w:tr>
      <w:tr>
        <w:trPr>
          <w:trHeight w:val="76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средства коммерческого учета электрической энергии (мощности) трехфазные полукосвенного включения</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НН (0,4 кВ и ниже)</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8.2.2</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57 267,74</w:t>
            </w:r>
          </w:p>
        </w:tc>
      </w:tr>
      <w:tr>
        <w:trPr>
          <w:trHeight w:val="76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средства коммерческого учета электрической энергии (мощности) трехфазные косвенного включения</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СН2 (20-1кВ)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8.2.3</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299 145,46</w:t>
            </w:r>
          </w:p>
        </w:tc>
      </w:tr>
      <w:tr>
        <w:trPr>
          <w:trHeight w:val="765" w:hRule="atLeast"/>
        </w:trPr>
        <w:tc>
          <w:tcPr>
            <w:tcW w:w="901" w:type="dxa"/>
            <w:tcBorders>
              <w:left w:val="single" w:sz="4" w:space="0" w:color="000000"/>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 </w:t>
            </w:r>
          </w:p>
        </w:tc>
        <w:tc>
          <w:tcPr>
            <w:tcW w:w="2999" w:type="dxa"/>
            <w:tcBorders>
              <w:bottom w:val="single" w:sz="4" w:space="0" w:color="000000"/>
              <w:right w:val="single" w:sz="4" w:space="0" w:color="000000"/>
            </w:tcBorders>
            <w:vAlign w:val="center"/>
          </w:tcPr>
          <w:p>
            <w:pPr>
              <w:pStyle w:val="Normal"/>
              <w:spacing w:before="0" w:after="160"/>
              <w:rPr>
                <w:rFonts w:ascii="PT Astra Serif" w:hAnsi="PT Astra Serif" w:cs="PT Astra Serif"/>
                <w:color w:val="000000"/>
                <w:sz w:val="20"/>
                <w:szCs w:val="20"/>
              </w:rPr>
            </w:pPr>
            <w:r>
              <w:rPr>
                <w:rFonts w:cs="PT Astra Serif" w:ascii="PT Astra Serif" w:hAnsi="PT Astra Serif"/>
                <w:color w:val="000000"/>
                <w:sz w:val="20"/>
                <w:szCs w:val="20"/>
              </w:rPr>
              <w:t>средства коммерческого учета электрической энергии (мощности) трехфазные косвенного включения</w:t>
            </w:r>
          </w:p>
        </w:tc>
        <w:tc>
          <w:tcPr>
            <w:tcW w:w="1681"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СН1 (35 кВ)</w:t>
            </w:r>
          </w:p>
        </w:tc>
        <w:tc>
          <w:tcPr>
            <w:tcW w:w="1225" w:type="dxa"/>
            <w:tcBorders>
              <w:bottom w:val="single" w:sz="4" w:space="0" w:color="000000"/>
              <w:right w:val="single" w:sz="4" w:space="0" w:color="000000"/>
            </w:tcBorders>
            <w:vAlign w:val="center"/>
          </w:tcPr>
          <w:p>
            <w:pPr>
              <w:pStyle w:val="Normal"/>
              <w:spacing w:before="0" w:after="160"/>
              <w:jc w:val="center"/>
              <w:rPr/>
            </w:pPr>
            <w:r>
              <w:rPr>
                <w:rFonts w:cs="PT Astra Serif" w:ascii="PT Astra Serif" w:hAnsi="PT Astra Serif"/>
                <w:color w:val="000000"/>
                <w:sz w:val="20"/>
                <w:szCs w:val="20"/>
              </w:rPr>
              <w:t>С</w:t>
            </w:r>
            <w:r>
              <w:rPr>
                <w:rFonts w:cs="PT Astra Serif" w:ascii="PT Astra Serif" w:hAnsi="PT Astra Serif"/>
                <w:color w:val="000000"/>
                <w:sz w:val="20"/>
                <w:szCs w:val="20"/>
                <w:vertAlign w:val="subscript"/>
              </w:rPr>
              <w:t>8.2.3</w:t>
            </w:r>
          </w:p>
        </w:tc>
        <w:tc>
          <w:tcPr>
            <w:tcW w:w="1169" w:type="dxa"/>
            <w:vMerge w:val="continue"/>
            <w:tcBorders>
              <w:left w:val="single" w:sz="4" w:space="0" w:color="000000"/>
              <w:bottom w:val="single" w:sz="4" w:space="0" w:color="000000"/>
              <w:right w:val="single" w:sz="4" w:space="0" w:color="000000"/>
            </w:tcBorders>
            <w:vAlign w:val="center"/>
          </w:tcPr>
          <w:p>
            <w:pPr>
              <w:pStyle w:val="Normal"/>
              <w:snapToGrid w:val="false"/>
              <w:spacing w:before="0" w:after="160"/>
              <w:rPr>
                <w:rFonts w:ascii="PT Astra Serif" w:hAnsi="PT Astra Serif" w:cs="PT Astra Serif"/>
                <w:color w:val="000000"/>
                <w:sz w:val="20"/>
                <w:szCs w:val="20"/>
              </w:rPr>
            </w:pPr>
            <w:r>
              <w:rPr>
                <w:rFonts w:cs="PT Astra Serif" w:ascii="PT Astra Serif" w:hAnsi="PT Astra Serif"/>
                <w:color w:val="000000"/>
                <w:sz w:val="20"/>
                <w:szCs w:val="20"/>
              </w:rPr>
            </w:r>
          </w:p>
        </w:tc>
        <w:tc>
          <w:tcPr>
            <w:tcW w:w="2513" w:type="dxa"/>
            <w:tcBorders>
              <w:bottom w:val="single" w:sz="4" w:space="0" w:color="000000"/>
              <w:right w:val="single" w:sz="4" w:space="0" w:color="000000"/>
            </w:tcBorders>
            <w:vAlign w:val="center"/>
          </w:tcPr>
          <w:p>
            <w:pPr>
              <w:pStyle w:val="Normal"/>
              <w:spacing w:before="0" w:after="160"/>
              <w:jc w:val="center"/>
              <w:rPr>
                <w:rFonts w:ascii="PT Astra Serif" w:hAnsi="PT Astra Serif" w:cs="PT Astra Serif"/>
                <w:color w:val="000000"/>
                <w:sz w:val="20"/>
                <w:szCs w:val="20"/>
              </w:rPr>
            </w:pPr>
            <w:r>
              <w:rPr>
                <w:rFonts w:cs="PT Astra Serif" w:ascii="PT Astra Serif" w:hAnsi="PT Astra Serif"/>
                <w:color w:val="000000"/>
                <w:sz w:val="20"/>
                <w:szCs w:val="20"/>
              </w:rPr>
              <w:t>1 743 269,32</w:t>
            </w:r>
          </w:p>
        </w:tc>
      </w:tr>
    </w:tbl>
    <w:p>
      <w:pPr>
        <w:pStyle w:val="Normal"/>
        <w:jc w:val="center"/>
        <w:rPr>
          <w:rFonts w:ascii="Times New Roman" w:hAnsi="Times New Roman"/>
          <w:b/>
          <w:bCs/>
          <w:sz w:val="20"/>
          <w:szCs w:val="20"/>
        </w:rPr>
      </w:pPr>
      <w:r>
        <w:rPr>
          <w:rFonts w:ascii="Times New Roman" w:hAnsi="Times New Roman"/>
          <w:b/>
          <w:bCs/>
          <w:sz w:val="20"/>
          <w:szCs w:val="20"/>
        </w:rPr>
      </w:r>
    </w:p>
    <w:p>
      <w:pPr>
        <w:pStyle w:val="1"/>
        <w:ind w:left="567" w:hanging="0"/>
        <w:jc w:val="both"/>
        <w:rPr>
          <w:rFonts w:ascii="Times New Roman" w:hAnsi="Times New Roman" w:cs="Times New Roman"/>
        </w:rPr>
      </w:pPr>
      <w:r>
        <w:rPr>
          <w:rFonts w:cs="Times New Roman" w:ascii="Times New Roman" w:hAnsi="Times New Roman"/>
        </w:rPr>
        <w:t>Формулы определения платы за технологическое присоединение</w:t>
      </w:r>
    </w:p>
    <w:p>
      <w:pPr>
        <w:pStyle w:val="Normal"/>
        <w:jc w:val="both"/>
        <w:rPr/>
      </w:pPr>
      <w:r>
        <w:rPr>
          <w:rFonts w:cs="PT Astra Serif" w:ascii="PT Astra Serif" w:hAnsi="PT Astra Serif"/>
          <w:b/>
          <w:bCs/>
        </w:rPr>
        <w:t xml:space="preserve">а) </w:t>
      </w:r>
      <w:r>
        <w:rPr>
          <w:rFonts w:cs="PT Astra Serif" w:ascii="PT Astra Serif" w:hAnsi="PT Astra Serif"/>
          <w:bCs/>
        </w:rPr>
        <w:t>Если отсутствует необходимость реализации мероприятий «последней мили»:</w:t>
      </w:r>
    </w:p>
    <w:p>
      <w:pPr>
        <w:pStyle w:val="Normal"/>
        <w:jc w:val="both"/>
        <w:rPr/>
      </w:pPr>
      <w:r>
        <w:rPr>
          <w:rFonts w:cs="PT Astra Serif" w:ascii="PT Astra Serif" w:hAnsi="PT Astra Serif"/>
          <w:b/>
          <w:bCs/>
        </w:rPr>
        <w:t>С</w:t>
      </w:r>
      <w:r>
        <w:rPr>
          <w:rFonts w:cs="PT Astra Serif" w:ascii="PT Astra Serif" w:hAnsi="PT Astra Serif"/>
          <w:b/>
          <w:bCs/>
          <w:vertAlign w:val="subscript"/>
        </w:rPr>
        <w:t xml:space="preserve">1 </w:t>
      </w:r>
      <w:r>
        <w:rPr>
          <w:rFonts w:cs="PT Astra Serif" w:ascii="PT Astra Serif" w:hAnsi="PT Astra Serif"/>
          <w:b/>
          <w:bCs/>
        </w:rPr>
        <w:t>+С8*</w:t>
      </w:r>
      <w:r>
        <w:rPr>
          <w:rFonts w:cs="PT Astra Serif" w:ascii="PT Astra Serif" w:hAnsi="PT Astra Serif"/>
          <w:b/>
          <w:bCs/>
          <w:lang w:val="en-US"/>
        </w:rPr>
        <w:t>q</w:t>
      </w:r>
      <w:r>
        <w:rPr>
          <w:rFonts w:cs="PT Astra Serif" w:ascii="PT Astra Serif" w:hAnsi="PT Astra Serif"/>
          <w:b/>
          <w:bCs/>
        </w:rPr>
        <w:t>= П</w:t>
      </w:r>
      <w:r>
        <w:rPr>
          <w:rFonts w:cs="PT Astra Serif" w:ascii="PT Astra Serif" w:hAnsi="PT Astra Serif"/>
          <w:b/>
          <w:bCs/>
          <w:lang w:val="en-US"/>
        </w:rPr>
        <w:t>T</w:t>
      </w:r>
      <w:r>
        <w:rPr>
          <w:rFonts w:cs="PT Astra Serif" w:ascii="PT Astra Serif" w:hAnsi="PT Astra Serif"/>
          <w:b/>
          <w:bCs/>
        </w:rPr>
        <w:t>П</w:t>
      </w:r>
      <w:r>
        <w:rPr>
          <w:rFonts w:cs="PT Astra Serif" w:ascii="PT Astra Serif" w:hAnsi="PT Astra Serif"/>
          <w:b/>
          <w:bCs/>
          <w:vertAlign w:val="subscript"/>
          <w:lang w:val="en-US"/>
        </w:rPr>
        <w:t>i</w:t>
      </w:r>
      <w:r>
        <w:rPr>
          <w:rFonts w:cs="PT Astra Serif" w:ascii="PT Astra Serif" w:hAnsi="PT Astra Serif"/>
          <w:b/>
          <w:bCs/>
          <w:vertAlign w:val="subscript"/>
        </w:rPr>
        <w:t xml:space="preserve"> (без «последней мили»)</w:t>
      </w:r>
      <w:r>
        <w:rPr>
          <w:rFonts w:cs="PT Astra Serif" w:ascii="PT Astra Serif" w:hAnsi="PT Astra Serif"/>
          <w:b/>
          <w:bCs/>
        </w:rPr>
        <w:t xml:space="preserve"> </w:t>
      </w:r>
      <w:r>
        <w:rPr>
          <w:rFonts w:cs="PT Astra Serif" w:ascii="PT Astra Serif" w:hAnsi="PT Astra Serif"/>
          <w:bCs/>
        </w:rPr>
        <w:t>(руб.) (без НДС)</w:t>
      </w:r>
    </w:p>
    <w:p>
      <w:pPr>
        <w:pStyle w:val="Normal"/>
        <w:jc w:val="both"/>
        <w:rPr/>
      </w:pPr>
      <w:r>
        <w:rPr>
          <w:rFonts w:cs="PT Astra Serif" w:ascii="PT Astra Serif" w:hAnsi="PT Astra Serif"/>
          <w:b/>
          <w:bCs/>
        </w:rPr>
        <w:t xml:space="preserve">б) </w:t>
      </w:r>
      <w:r>
        <w:rPr>
          <w:rFonts w:cs="PT Astra Serif" w:ascii="PT Astra Serif" w:hAnsi="PT Astra Serif"/>
          <w:bCs/>
        </w:rPr>
        <w:t>Если предусматриваются мероприятия «последней мили» по прокладке воздушных и (или) кабельных линий:</w:t>
      </w:r>
    </w:p>
    <w:p>
      <w:pPr>
        <w:pStyle w:val="Normal"/>
        <w:jc w:val="both"/>
        <w:rPr/>
      </w:pPr>
      <w:r>
        <w:rPr>
          <w:rFonts w:cs="PT Astra Serif" w:ascii="PT Astra Serif" w:hAnsi="PT Astra Serif"/>
          <w:b/>
          <w:bCs/>
          <w:lang w:val="en-US"/>
        </w:rPr>
        <w:t>C</w:t>
      </w:r>
      <w:r>
        <w:rPr>
          <w:rFonts w:cs="PT Astra Serif" w:ascii="PT Astra Serif" w:hAnsi="PT Astra Serif"/>
          <w:b/>
          <w:bCs/>
          <w:vertAlign w:val="subscript"/>
        </w:rPr>
        <w:t>1</w:t>
      </w:r>
      <w:r>
        <w:rPr>
          <w:rFonts w:cs="PT Astra Serif" w:ascii="PT Astra Serif" w:hAnsi="PT Astra Serif"/>
          <w:b/>
          <w:bCs/>
        </w:rPr>
        <w:t xml:space="preserve"> + </w:t>
      </w:r>
      <w:r>
        <w:rPr>
          <w:rFonts w:cs="PT Astra Serif" w:ascii="PT Astra Serif" w:hAnsi="PT Astra Serif"/>
          <w:b/>
          <w:bCs/>
          <w:lang w:val="en-US"/>
        </w:rPr>
        <w:t>C</w:t>
      </w:r>
      <w:r>
        <w:rPr>
          <w:rFonts w:cs="PT Astra Serif" w:ascii="PT Astra Serif" w:hAnsi="PT Astra Serif"/>
          <w:b/>
          <w:bCs/>
          <w:vertAlign w:val="subscript"/>
        </w:rPr>
        <w:t>2</w:t>
      </w:r>
      <w:r>
        <w:rPr>
          <w:rFonts w:cs="PT Astra Serif" w:ascii="PT Astra Serif" w:hAnsi="PT Astra Serif"/>
          <w:b/>
          <w:bCs/>
          <w:vertAlign w:val="subscript"/>
          <w:lang w:val="en-US"/>
        </w:rPr>
        <w:t>ij</w:t>
      </w:r>
      <w:r>
        <w:rPr>
          <w:rFonts w:cs="PT Astra Serif" w:ascii="PT Astra Serif" w:hAnsi="PT Astra Serif"/>
          <w:b/>
          <w:bCs/>
        </w:rPr>
        <w:t>*</w:t>
      </w:r>
      <w:r>
        <w:rPr>
          <w:rFonts w:cs="PT Astra Serif" w:ascii="PT Astra Serif" w:hAnsi="PT Astra Serif"/>
          <w:b/>
          <w:bCs/>
          <w:lang w:val="en-US"/>
        </w:rPr>
        <w:t>L</w:t>
      </w:r>
      <w:r>
        <w:rPr>
          <w:rFonts w:cs="PT Astra Serif" w:ascii="PT Astra Serif" w:hAnsi="PT Astra Serif"/>
          <w:b/>
          <w:bCs/>
          <w:vertAlign w:val="subscript"/>
          <w:lang w:val="en-US"/>
        </w:rPr>
        <w:t>i</w:t>
      </w:r>
      <w:r>
        <w:rPr>
          <w:rFonts w:cs="PT Astra Serif" w:ascii="PT Astra Serif" w:hAnsi="PT Astra Serif"/>
          <w:b/>
          <w:bCs/>
          <w:vertAlign w:val="subscript"/>
        </w:rPr>
        <w:t>(вл)</w:t>
      </w:r>
      <w:r>
        <w:rPr>
          <w:rFonts w:cs="PT Astra Serif" w:ascii="PT Astra Serif" w:hAnsi="PT Astra Serif"/>
          <w:b/>
          <w:bCs/>
        </w:rPr>
        <w:t xml:space="preserve"> + </w:t>
      </w:r>
      <w:r>
        <w:rPr>
          <w:rFonts w:cs="PT Astra Serif" w:ascii="PT Astra Serif" w:hAnsi="PT Astra Serif"/>
          <w:b/>
          <w:bCs/>
          <w:lang w:val="en-US"/>
        </w:rPr>
        <w:t>C</w:t>
      </w:r>
      <w:r>
        <w:rPr>
          <w:rFonts w:cs="PT Astra Serif" w:ascii="PT Astra Serif" w:hAnsi="PT Astra Serif"/>
          <w:b/>
          <w:bCs/>
          <w:vertAlign w:val="subscript"/>
        </w:rPr>
        <w:t>3</w:t>
      </w:r>
      <w:r>
        <w:rPr>
          <w:rFonts w:cs="PT Astra Serif" w:ascii="PT Astra Serif" w:hAnsi="PT Astra Serif"/>
          <w:b/>
          <w:bCs/>
          <w:vertAlign w:val="subscript"/>
          <w:lang w:val="en-US"/>
        </w:rPr>
        <w:t>ij</w:t>
      </w:r>
      <w:r>
        <w:rPr>
          <w:rFonts w:cs="PT Astra Serif" w:ascii="PT Astra Serif" w:hAnsi="PT Astra Serif"/>
          <w:b/>
          <w:bCs/>
        </w:rPr>
        <w:t>*</w:t>
      </w:r>
      <w:r>
        <w:rPr>
          <w:rFonts w:cs="PT Astra Serif" w:ascii="PT Astra Serif" w:hAnsi="PT Astra Serif"/>
          <w:b/>
          <w:bCs/>
          <w:lang w:val="en-US"/>
        </w:rPr>
        <w:t>L</w:t>
      </w:r>
      <w:r>
        <w:rPr>
          <w:rFonts w:cs="PT Astra Serif" w:ascii="PT Astra Serif" w:hAnsi="PT Astra Serif"/>
          <w:b/>
          <w:bCs/>
          <w:vertAlign w:val="subscript"/>
          <w:lang w:val="en-US"/>
        </w:rPr>
        <w:t>i</w:t>
      </w:r>
      <w:r>
        <w:rPr>
          <w:rFonts w:cs="PT Astra Serif" w:ascii="PT Astra Serif" w:hAnsi="PT Astra Serif"/>
          <w:b/>
          <w:bCs/>
          <w:vertAlign w:val="subscript"/>
        </w:rPr>
        <w:t>(кл)</w:t>
      </w:r>
      <w:r>
        <w:rPr>
          <w:rFonts w:cs="PT Astra Serif" w:ascii="PT Astra Serif" w:hAnsi="PT Astra Serif"/>
          <w:b/>
          <w:bCs/>
        </w:rPr>
        <w:t xml:space="preserve"> +С8*</w:t>
      </w:r>
      <w:r>
        <w:rPr>
          <w:rFonts w:cs="PT Astra Serif" w:ascii="PT Astra Serif" w:hAnsi="PT Astra Serif"/>
          <w:b/>
          <w:bCs/>
          <w:lang w:val="en-US"/>
        </w:rPr>
        <w:t>q</w:t>
      </w:r>
      <w:r>
        <w:rPr>
          <w:rFonts w:cs="PT Astra Serif" w:ascii="PT Astra Serif" w:hAnsi="PT Astra Serif"/>
          <w:b/>
          <w:bCs/>
        </w:rPr>
        <w:t xml:space="preserve"> = ПТП</w:t>
      </w:r>
      <w:r>
        <w:rPr>
          <w:rFonts w:cs="PT Astra Serif" w:ascii="PT Astra Serif" w:hAnsi="PT Astra Serif"/>
          <w:b/>
          <w:bCs/>
          <w:vertAlign w:val="subscript"/>
          <w:lang w:val="en-US"/>
        </w:rPr>
        <w:t>i</w:t>
      </w:r>
      <w:r>
        <w:rPr>
          <w:rFonts w:cs="PT Astra Serif" w:ascii="PT Astra Serif" w:hAnsi="PT Astra Serif"/>
          <w:b/>
          <w:bCs/>
          <w:vertAlign w:val="subscript"/>
        </w:rPr>
        <w:t xml:space="preserve"> (вл(кл))</w:t>
      </w:r>
      <w:r>
        <w:rPr>
          <w:rFonts w:cs="PT Astra Serif" w:ascii="PT Astra Serif" w:hAnsi="PT Astra Serif"/>
          <w:b/>
          <w:bCs/>
        </w:rPr>
        <w:t xml:space="preserve"> </w:t>
      </w:r>
      <w:r>
        <w:rPr>
          <w:rFonts w:cs="PT Astra Serif" w:ascii="PT Astra Serif" w:hAnsi="PT Astra Serif"/>
          <w:bCs/>
        </w:rPr>
        <w:t>(руб.) (без НДС)</w:t>
      </w:r>
    </w:p>
    <w:p>
      <w:pPr>
        <w:pStyle w:val="Normal"/>
        <w:jc w:val="both"/>
        <w:rPr/>
      </w:pPr>
      <w:r>
        <w:rPr>
          <w:rFonts w:cs="PT Astra Serif" w:ascii="PT Astra Serif" w:hAnsi="PT Astra Serif"/>
          <w:b/>
          <w:bCs/>
        </w:rPr>
        <w:t xml:space="preserve">в) </w:t>
      </w:r>
      <w:r>
        <w:rPr>
          <w:rFonts w:cs="PT Astra Serif" w:ascii="PT Astra Serif" w:hAnsi="PT Astra Serif"/>
          <w:bCs/>
        </w:rPr>
        <w:t>Если предусматриваются мероприятия «последней мили» по строительству пунктов секционирования, трансформаторных подстанций, распределительных трансформаторных подстанций с уровнем напряжения до 35 кВ и центров питания, подстанций уровнем напряжения 35 кВ и выше (ПС):</w:t>
      </w:r>
    </w:p>
    <w:p>
      <w:pPr>
        <w:pStyle w:val="Normal"/>
        <w:jc w:val="both"/>
        <w:rPr/>
      </w:pPr>
      <w:r>
        <w:rPr>
          <w:rFonts w:cs="PT Astra Serif" w:ascii="PT Astra Serif" w:hAnsi="PT Astra Serif"/>
          <w:b/>
          <w:bCs/>
          <w:lang w:val="en-US"/>
        </w:rPr>
        <w:t>C</w:t>
      </w:r>
      <w:r>
        <w:rPr>
          <w:rFonts w:cs="PT Astra Serif" w:ascii="PT Astra Serif" w:hAnsi="PT Astra Serif"/>
          <w:b/>
          <w:bCs/>
          <w:vertAlign w:val="subscript"/>
        </w:rPr>
        <w:t>1</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2</w:t>
      </w:r>
      <w:r>
        <w:rPr>
          <w:rFonts w:cs="PT Astra Serif" w:ascii="PT Astra Serif" w:hAnsi="PT Astra Serif"/>
          <w:b/>
          <w:bCs/>
          <w:vertAlign w:val="subscript"/>
          <w:lang w:val="en-US"/>
        </w:rPr>
        <w:t>ij</w:t>
      </w:r>
      <w:r>
        <w:rPr>
          <w:rFonts w:cs="PT Astra Serif" w:ascii="PT Astra Serif" w:hAnsi="PT Astra Serif"/>
          <w:b/>
          <w:bCs/>
        </w:rPr>
        <w:t>*</w:t>
      </w:r>
      <w:r>
        <w:rPr>
          <w:rFonts w:cs="PT Astra Serif" w:ascii="PT Astra Serif" w:hAnsi="PT Astra Serif"/>
          <w:b/>
          <w:bCs/>
          <w:lang w:val="en-US"/>
        </w:rPr>
        <w:t>L</w:t>
      </w:r>
      <w:r>
        <w:rPr>
          <w:rFonts w:cs="PT Astra Serif" w:ascii="PT Astra Serif" w:hAnsi="PT Astra Serif"/>
          <w:b/>
          <w:bCs/>
          <w:vertAlign w:val="subscript"/>
          <w:lang w:val="en-US"/>
        </w:rPr>
        <w:t>i</w:t>
      </w:r>
      <w:r>
        <w:rPr>
          <w:rFonts w:cs="PT Astra Serif" w:ascii="PT Astra Serif" w:hAnsi="PT Astra Serif"/>
          <w:b/>
          <w:bCs/>
          <w:vertAlign w:val="subscript"/>
        </w:rPr>
        <w:t>(вл)</w:t>
      </w:r>
      <w:r>
        <w:rPr>
          <w:rFonts w:cs="PT Astra Serif" w:ascii="PT Astra Serif" w:hAnsi="PT Astra Serif"/>
          <w:b/>
          <w:bCs/>
        </w:rPr>
        <w:t xml:space="preserve"> + </w:t>
      </w:r>
      <w:r>
        <w:rPr>
          <w:rFonts w:cs="PT Astra Serif" w:ascii="PT Astra Serif" w:hAnsi="PT Astra Serif"/>
          <w:b/>
          <w:bCs/>
          <w:lang w:val="en-US"/>
        </w:rPr>
        <w:t>C</w:t>
      </w:r>
      <w:r>
        <w:rPr>
          <w:rFonts w:cs="PT Astra Serif" w:ascii="PT Astra Serif" w:hAnsi="PT Astra Serif"/>
          <w:b/>
          <w:bCs/>
          <w:vertAlign w:val="subscript"/>
        </w:rPr>
        <w:t>3</w:t>
      </w:r>
      <w:r>
        <w:rPr>
          <w:rFonts w:cs="PT Astra Serif" w:ascii="PT Astra Serif" w:hAnsi="PT Astra Serif"/>
          <w:b/>
          <w:bCs/>
          <w:vertAlign w:val="subscript"/>
          <w:lang w:val="en-US"/>
        </w:rPr>
        <w:t>ij</w:t>
      </w:r>
      <w:r>
        <w:rPr>
          <w:rFonts w:cs="PT Astra Serif" w:ascii="PT Astra Serif" w:hAnsi="PT Astra Serif"/>
          <w:b/>
          <w:bCs/>
        </w:rPr>
        <w:t>*</w:t>
      </w:r>
      <w:r>
        <w:rPr>
          <w:rFonts w:cs="PT Astra Serif" w:ascii="PT Astra Serif" w:hAnsi="PT Astra Serif"/>
          <w:b/>
          <w:bCs/>
          <w:lang w:val="en-US"/>
        </w:rPr>
        <w:t>L</w:t>
      </w:r>
      <w:r>
        <w:rPr>
          <w:rFonts w:cs="PT Astra Serif" w:ascii="PT Astra Serif" w:hAnsi="PT Astra Serif"/>
          <w:b/>
          <w:bCs/>
          <w:vertAlign w:val="subscript"/>
          <w:lang w:val="en-US"/>
        </w:rPr>
        <w:t>i</w:t>
      </w:r>
      <w:r>
        <w:rPr>
          <w:rFonts w:cs="PT Astra Serif" w:ascii="PT Astra Serif" w:hAnsi="PT Astra Serif"/>
          <w:b/>
          <w:bCs/>
          <w:vertAlign w:val="subscript"/>
        </w:rPr>
        <w:t>(кл)</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4</w:t>
      </w:r>
      <w:r>
        <w:rPr>
          <w:rFonts w:cs="PT Astra Serif" w:ascii="PT Astra Serif" w:hAnsi="PT Astra Serif"/>
          <w:b/>
          <w:bCs/>
          <w:vertAlign w:val="subscript"/>
          <w:lang w:val="en-US"/>
        </w:rPr>
        <w:t>ij</w:t>
      </w:r>
      <w:r>
        <w:rPr>
          <w:rFonts w:cs="PT Astra Serif" w:ascii="PT Astra Serif" w:hAnsi="PT Astra Serif"/>
          <w:b/>
          <w:bCs/>
        </w:rPr>
        <w:t>*Т</w:t>
      </w:r>
      <w:r>
        <w:rPr>
          <w:rFonts w:cs="PT Astra Serif" w:ascii="PT Astra Serif" w:hAnsi="PT Astra Serif"/>
          <w:b/>
          <w:bCs/>
          <w:vertAlign w:val="subscript"/>
        </w:rPr>
        <w:t xml:space="preserve"> </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5</w:t>
      </w:r>
      <w:r>
        <w:rPr>
          <w:rFonts w:cs="PT Astra Serif" w:ascii="PT Astra Serif" w:hAnsi="PT Astra Serif"/>
          <w:b/>
          <w:bCs/>
          <w:vertAlign w:val="subscript"/>
          <w:lang w:val="en-US"/>
        </w:rPr>
        <w:t>ij</w:t>
      </w:r>
      <w:r>
        <w:rPr>
          <w:rFonts w:cs="PT Astra Serif" w:ascii="PT Astra Serif" w:hAnsi="PT Astra Serif"/>
          <w:b/>
          <w:bCs/>
        </w:rPr>
        <w:t>*</w:t>
      </w:r>
      <w:r>
        <w:rPr>
          <w:rFonts w:cs="PT Astra Serif" w:ascii="PT Astra Serif" w:hAnsi="PT Astra Serif"/>
          <w:b/>
          <w:bCs/>
          <w:lang w:val="en-US"/>
        </w:rPr>
        <w:t>N</w:t>
      </w:r>
      <w:r>
        <w:rPr>
          <w:rFonts w:cs="PT Astra Serif" w:ascii="PT Astra Serif" w:hAnsi="PT Astra Serif"/>
          <w:b/>
          <w:bCs/>
          <w:vertAlign w:val="subscript"/>
          <w:lang w:val="en-US"/>
        </w:rPr>
        <w:t>i</w:t>
      </w:r>
      <w:r>
        <w:rPr>
          <w:rFonts w:cs="PT Astra Serif" w:ascii="PT Astra Serif" w:hAnsi="PT Astra Serif"/>
          <w:b/>
          <w:bCs/>
          <w:vertAlign w:val="subscript"/>
        </w:rPr>
        <w:t xml:space="preserve"> </w:t>
      </w:r>
      <w:r>
        <w:rPr>
          <w:rFonts w:cs="PT Astra Serif" w:ascii="PT Astra Serif" w:hAnsi="PT Astra Serif"/>
          <w:b/>
          <w:bCs/>
        </w:rPr>
        <w:t>+</w:t>
      </w:r>
      <w:r>
        <w:rPr>
          <w:rFonts w:cs="PT Astra Serif" w:ascii="PT Astra Serif" w:hAnsi="PT Astra Serif"/>
          <w:b/>
          <w:bCs/>
          <w:lang w:val="en-US"/>
        </w:rPr>
        <w:t>C</w:t>
      </w:r>
      <w:r>
        <w:rPr>
          <w:rFonts w:cs="PT Astra Serif" w:ascii="PT Astra Serif" w:hAnsi="PT Astra Serif"/>
          <w:b/>
          <w:bCs/>
          <w:vertAlign w:val="subscript"/>
        </w:rPr>
        <w:t>6</w:t>
      </w:r>
      <w:r>
        <w:rPr>
          <w:rFonts w:cs="PT Astra Serif" w:ascii="PT Astra Serif" w:hAnsi="PT Astra Serif"/>
          <w:b/>
          <w:bCs/>
          <w:vertAlign w:val="subscript"/>
          <w:lang w:val="en-US"/>
        </w:rPr>
        <w:t>ij</w:t>
      </w:r>
      <w:r>
        <w:rPr>
          <w:rFonts w:cs="PT Astra Serif" w:ascii="PT Astra Serif" w:hAnsi="PT Astra Serif"/>
          <w:b/>
          <w:bCs/>
        </w:rPr>
        <w:t>*</w:t>
      </w:r>
      <w:r>
        <w:rPr>
          <w:rFonts w:cs="PT Astra Serif" w:ascii="PT Astra Serif" w:hAnsi="PT Astra Serif"/>
          <w:b/>
          <w:bCs/>
          <w:lang w:val="en-US"/>
        </w:rPr>
        <w:t>N</w:t>
      </w:r>
      <w:r>
        <w:rPr>
          <w:rFonts w:cs="PT Astra Serif" w:ascii="PT Astra Serif" w:hAnsi="PT Astra Serif"/>
          <w:b/>
          <w:bCs/>
          <w:vertAlign w:val="subscript"/>
          <w:lang w:val="en-US"/>
        </w:rPr>
        <w:t>i</w:t>
      </w:r>
      <w:r>
        <w:rPr>
          <w:rFonts w:cs="PT Astra Serif" w:ascii="PT Astra Serif" w:hAnsi="PT Astra Serif"/>
          <w:b/>
          <w:bCs/>
          <w:vertAlign w:val="subscript"/>
        </w:rPr>
        <w:t xml:space="preserve"> </w:t>
      </w:r>
      <w:r>
        <w:rPr>
          <w:rFonts w:cs="PT Astra Serif" w:ascii="PT Astra Serif" w:hAnsi="PT Astra Serif"/>
          <w:b/>
          <w:bCs/>
        </w:rPr>
        <w:t>+</w:t>
      </w:r>
      <w:r>
        <w:rPr>
          <w:rFonts w:cs="PT Astra Serif" w:ascii="PT Astra Serif" w:hAnsi="PT Astra Serif"/>
          <w:b/>
          <w:bCs/>
          <w:lang w:val="en-US"/>
        </w:rPr>
        <w:t>C</w:t>
      </w:r>
      <w:r>
        <w:rPr>
          <w:rFonts w:cs="PT Astra Serif" w:ascii="PT Astra Serif" w:hAnsi="PT Astra Serif"/>
          <w:b/>
          <w:bCs/>
          <w:vertAlign w:val="subscript"/>
        </w:rPr>
        <w:t>7</w:t>
      </w:r>
      <w:r>
        <w:rPr>
          <w:rFonts w:cs="PT Astra Serif" w:ascii="PT Astra Serif" w:hAnsi="PT Astra Serif"/>
          <w:b/>
          <w:bCs/>
          <w:vertAlign w:val="subscript"/>
          <w:lang w:val="en-US"/>
        </w:rPr>
        <w:t>ij</w:t>
      </w:r>
      <w:r>
        <w:rPr>
          <w:rFonts w:cs="PT Astra Serif" w:ascii="PT Astra Serif" w:hAnsi="PT Astra Serif"/>
          <w:b/>
          <w:bCs/>
        </w:rPr>
        <w:t>*</w:t>
      </w:r>
      <w:r>
        <w:rPr>
          <w:rFonts w:cs="PT Astra Serif" w:ascii="PT Astra Serif" w:hAnsi="PT Astra Serif"/>
          <w:b/>
          <w:bCs/>
          <w:lang w:val="en-US"/>
        </w:rPr>
        <w:t>N</w:t>
      </w:r>
      <w:r>
        <w:rPr>
          <w:rFonts w:cs="PT Astra Serif" w:ascii="PT Astra Serif" w:hAnsi="PT Astra Serif"/>
          <w:b/>
          <w:bCs/>
          <w:vertAlign w:val="subscript"/>
          <w:lang w:val="en-US"/>
        </w:rPr>
        <w:t>i</w:t>
      </w:r>
      <w:r>
        <w:rPr>
          <w:rFonts w:cs="PT Astra Serif" w:ascii="PT Astra Serif" w:hAnsi="PT Astra Serif"/>
          <w:b/>
          <w:bCs/>
          <w:vertAlign w:val="subscript"/>
        </w:rPr>
        <w:t xml:space="preserve"> </w:t>
      </w:r>
      <w:r>
        <w:rPr>
          <w:rFonts w:cs="PT Astra Serif" w:ascii="PT Astra Serif" w:hAnsi="PT Astra Serif"/>
          <w:b/>
          <w:bCs/>
        </w:rPr>
        <w:t>+С8*</w:t>
      </w:r>
      <w:r>
        <w:rPr>
          <w:rFonts w:cs="PT Astra Serif" w:ascii="PT Astra Serif" w:hAnsi="PT Astra Serif"/>
          <w:b/>
          <w:bCs/>
          <w:lang w:val="en-US"/>
        </w:rPr>
        <w:t>q</w:t>
      </w:r>
      <w:r>
        <w:rPr>
          <w:rFonts w:cs="PT Astra Serif" w:ascii="PT Astra Serif" w:hAnsi="PT Astra Serif"/>
          <w:b/>
          <w:bCs/>
        </w:rPr>
        <w:t xml:space="preserve"> = ПТП</w:t>
      </w:r>
      <w:r>
        <w:rPr>
          <w:rFonts w:cs="PT Astra Serif" w:ascii="PT Astra Serif" w:hAnsi="PT Astra Serif"/>
          <w:b/>
          <w:bCs/>
          <w:vertAlign w:val="subscript"/>
          <w:lang w:val="en-US"/>
        </w:rPr>
        <w:t>i</w:t>
      </w:r>
      <w:r>
        <w:rPr>
          <w:rFonts w:cs="PT Astra Serif" w:ascii="PT Astra Serif" w:hAnsi="PT Astra Serif"/>
          <w:b/>
          <w:bCs/>
          <w:vertAlign w:val="subscript"/>
        </w:rPr>
        <w:t xml:space="preserve"> (вл(кл)+тп)</w:t>
      </w:r>
      <w:r>
        <w:rPr>
          <w:rFonts w:cs="PT Astra Serif" w:ascii="PT Astra Serif" w:hAnsi="PT Astra Serif"/>
          <w:b/>
          <w:bCs/>
        </w:rPr>
        <w:t xml:space="preserve"> </w:t>
      </w:r>
      <w:r>
        <w:rPr>
          <w:rFonts w:cs="PT Astra Serif" w:ascii="PT Astra Serif" w:hAnsi="PT Astra Serif"/>
          <w:bCs/>
        </w:rPr>
        <w:t>(руб.) (без НДС)</w:t>
      </w:r>
    </w:p>
    <w:p>
      <w:pPr>
        <w:pStyle w:val="Normal"/>
        <w:jc w:val="both"/>
        <w:rPr/>
      </w:pPr>
      <w:r>
        <w:rPr>
          <w:rFonts w:cs="PT Astra Serif" w:ascii="PT Astra Serif" w:hAnsi="PT Astra Serif"/>
          <w:b/>
          <w:bCs/>
        </w:rPr>
        <w:t xml:space="preserve">г) </w:t>
      </w:r>
      <w:r>
        <w:rPr>
          <w:rFonts w:cs="PT Astra Serif" w:ascii="PT Astra Serif" w:hAnsi="PT Astra Serif"/>
          <w:bCs/>
        </w:rPr>
        <w:t>Если при технологическом присоединении согласно техническим условиям срок выполнения мероприятий по технологическому присоединению предусмотрен период два года:</w:t>
      </w:r>
    </w:p>
    <w:p>
      <w:pPr>
        <w:pStyle w:val="Normal"/>
        <w:jc w:val="both"/>
        <w:rPr/>
      </w:pPr>
      <w:r>
        <w:rPr>
          <w:rFonts w:cs="PT Astra Serif" w:ascii="PT Astra Serif" w:hAnsi="PT Astra Serif"/>
          <w:b/>
          <w:bCs/>
          <w:lang w:val="en-US"/>
        </w:rPr>
        <w:t>C</w:t>
      </w:r>
      <w:r>
        <w:rPr>
          <w:rFonts w:cs="PT Astra Serif" w:ascii="PT Astra Serif" w:hAnsi="PT Astra Serif"/>
          <w:b/>
          <w:bCs/>
          <w:vertAlign w:val="subscript"/>
        </w:rPr>
        <w:t xml:space="preserve">1 </w:t>
      </w:r>
      <w:r>
        <w:rPr>
          <w:rFonts w:cs="PT Astra Serif" w:ascii="PT Astra Serif" w:hAnsi="PT Astra Serif"/>
          <w:b/>
          <w:bCs/>
        </w:rPr>
        <w:t>+ (0,5*(</w:t>
      </w:r>
      <w:r>
        <w:rPr>
          <w:rFonts w:cs="PT Astra Serif" w:ascii="PT Astra Serif" w:hAnsi="PT Astra Serif"/>
          <w:b/>
          <w:bCs/>
          <w:lang w:val="en-US"/>
        </w:rPr>
        <w:t>C</w:t>
      </w:r>
      <w:r>
        <w:rPr>
          <w:rFonts w:cs="PT Astra Serif" w:ascii="PT Astra Serif" w:hAnsi="PT Astra Serif"/>
          <w:b/>
          <w:bCs/>
        </w:rPr>
        <w:t>2</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Li</w:t>
      </w:r>
      <w:r>
        <w:rPr>
          <w:rFonts w:cs="PT Astra Serif" w:ascii="PT Astra Serif" w:hAnsi="PT Astra Serif"/>
          <w:b/>
          <w:bCs/>
        </w:rPr>
        <w:t xml:space="preserve">(вл) + </w:t>
      </w:r>
      <w:r>
        <w:rPr>
          <w:rFonts w:cs="PT Astra Serif" w:ascii="PT Astra Serif" w:hAnsi="PT Astra Serif"/>
          <w:b/>
          <w:bCs/>
          <w:lang w:val="en-US"/>
        </w:rPr>
        <w:t>C</w:t>
      </w:r>
      <w:r>
        <w:rPr>
          <w:rFonts w:cs="PT Astra Serif" w:ascii="PT Astra Serif" w:hAnsi="PT Astra Serif"/>
          <w:b/>
          <w:bCs/>
        </w:rPr>
        <w:t>3</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Li</w:t>
      </w:r>
      <w:r>
        <w:rPr>
          <w:rFonts w:cs="PT Astra Serif" w:ascii="PT Astra Serif" w:hAnsi="PT Astra Serif"/>
          <w:b/>
          <w:bCs/>
        </w:rPr>
        <w:t xml:space="preserve">(кл)+ </w:t>
      </w:r>
      <w:r>
        <w:rPr>
          <w:rFonts w:cs="PT Astra Serif" w:ascii="PT Astra Serif" w:hAnsi="PT Astra Serif"/>
          <w:b/>
          <w:bCs/>
          <w:lang w:val="en-US"/>
        </w:rPr>
        <w:t>C</w:t>
      </w:r>
      <w:r>
        <w:rPr>
          <w:rFonts w:cs="PT Astra Serif" w:ascii="PT Astra Serif" w:hAnsi="PT Astra Serif"/>
          <w:b/>
          <w:bCs/>
        </w:rPr>
        <w:t>4</w:t>
      </w:r>
      <w:r>
        <w:rPr>
          <w:rFonts w:cs="PT Astra Serif" w:ascii="PT Astra Serif" w:hAnsi="PT Astra Serif"/>
          <w:b/>
          <w:bCs/>
          <w:lang w:val="en-US"/>
        </w:rPr>
        <w:t>ij</w:t>
      </w:r>
      <w:r>
        <w:rPr>
          <w:rFonts w:cs="PT Astra Serif" w:ascii="PT Astra Serif" w:hAnsi="PT Astra Serif"/>
          <w:b/>
          <w:bCs/>
        </w:rPr>
        <w:t xml:space="preserve">*Т + </w:t>
      </w:r>
      <w:r>
        <w:rPr>
          <w:rFonts w:cs="PT Astra Serif" w:ascii="PT Astra Serif" w:hAnsi="PT Astra Serif"/>
          <w:b/>
          <w:bCs/>
          <w:lang w:val="en-US"/>
        </w:rPr>
        <w:t>C</w:t>
      </w:r>
      <w:r>
        <w:rPr>
          <w:rFonts w:cs="PT Astra Serif" w:ascii="PT Astra Serif" w:hAnsi="PT Astra Serif"/>
          <w:b/>
          <w:bCs/>
        </w:rPr>
        <w:t>5</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rPr>
        <w:t>6</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rPr>
        <w:t>7</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+С8*</w:t>
      </w:r>
      <w:r>
        <w:rPr>
          <w:rFonts w:cs="PT Astra Serif" w:ascii="PT Astra Serif" w:hAnsi="PT Astra Serif"/>
          <w:b/>
          <w:bCs/>
          <w:lang w:val="en-US"/>
        </w:rPr>
        <w:t>q</w:t>
      </w:r>
      <w:r>
        <w:rPr>
          <w:rFonts w:cs="PT Astra Serif" w:ascii="PT Astra Serif" w:hAnsi="PT Astra Serif"/>
          <w:b/>
          <w:bCs/>
        </w:rPr>
        <w:t>)) + (0,5*(</w:t>
      </w:r>
      <w:r>
        <w:rPr>
          <w:rFonts w:cs="PT Astra Serif" w:ascii="PT Astra Serif" w:hAnsi="PT Astra Serif"/>
          <w:b/>
          <w:bCs/>
          <w:lang w:val="en-US"/>
        </w:rPr>
        <w:t>C</w:t>
      </w:r>
      <w:r>
        <w:rPr>
          <w:rFonts w:cs="PT Astra Serif" w:ascii="PT Astra Serif" w:hAnsi="PT Astra Serif"/>
          <w:b/>
          <w:bCs/>
        </w:rPr>
        <w:t>2</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Li</w:t>
      </w:r>
      <w:r>
        <w:rPr>
          <w:rFonts w:cs="PT Astra Serif" w:ascii="PT Astra Serif" w:hAnsi="PT Astra Serif"/>
          <w:b/>
          <w:bCs/>
        </w:rPr>
        <w:t xml:space="preserve">(вл) + </w:t>
      </w:r>
      <w:r>
        <w:rPr>
          <w:rFonts w:cs="PT Astra Serif" w:ascii="PT Astra Serif" w:hAnsi="PT Astra Serif"/>
          <w:b/>
          <w:bCs/>
          <w:lang w:val="en-US"/>
        </w:rPr>
        <w:t>C</w:t>
      </w:r>
      <w:r>
        <w:rPr>
          <w:rFonts w:cs="PT Astra Serif" w:ascii="PT Astra Serif" w:hAnsi="PT Astra Serif"/>
          <w:b/>
          <w:bCs/>
        </w:rPr>
        <w:t>3</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Li</w:t>
      </w:r>
      <w:r>
        <w:rPr>
          <w:rFonts w:cs="PT Astra Serif" w:ascii="PT Astra Serif" w:hAnsi="PT Astra Serif"/>
          <w:b/>
          <w:bCs/>
        </w:rPr>
        <w:t xml:space="preserve">(кл)+ </w:t>
      </w:r>
      <w:r>
        <w:rPr>
          <w:rFonts w:cs="PT Astra Serif" w:ascii="PT Astra Serif" w:hAnsi="PT Astra Serif"/>
          <w:b/>
          <w:bCs/>
          <w:lang w:val="en-US"/>
        </w:rPr>
        <w:t>C</w:t>
      </w:r>
      <w:r>
        <w:rPr>
          <w:rFonts w:cs="PT Astra Serif" w:ascii="PT Astra Serif" w:hAnsi="PT Astra Serif"/>
          <w:b/>
          <w:bCs/>
        </w:rPr>
        <w:t>4</w:t>
      </w:r>
      <w:r>
        <w:rPr>
          <w:rFonts w:cs="PT Astra Serif" w:ascii="PT Astra Serif" w:hAnsi="PT Astra Serif"/>
          <w:b/>
          <w:bCs/>
          <w:lang w:val="en-US"/>
        </w:rPr>
        <w:t>ij</w:t>
      </w:r>
      <w:r>
        <w:rPr>
          <w:rFonts w:cs="PT Astra Serif" w:ascii="PT Astra Serif" w:hAnsi="PT Astra Serif"/>
          <w:b/>
          <w:bCs/>
        </w:rPr>
        <w:t xml:space="preserve">*Т + </w:t>
      </w:r>
      <w:r>
        <w:rPr>
          <w:rFonts w:cs="PT Astra Serif" w:ascii="PT Astra Serif" w:hAnsi="PT Astra Serif"/>
          <w:b/>
          <w:bCs/>
          <w:lang w:val="en-US"/>
        </w:rPr>
        <w:t>C</w:t>
      </w:r>
      <w:r>
        <w:rPr>
          <w:rFonts w:cs="PT Astra Serif" w:ascii="PT Astra Serif" w:hAnsi="PT Astra Serif"/>
          <w:b/>
          <w:bCs/>
        </w:rPr>
        <w:t>5</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rPr>
        <w:t>6</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rPr>
        <w:t>7</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+С8*</w:t>
      </w:r>
      <w:r>
        <w:rPr>
          <w:rFonts w:cs="PT Astra Serif" w:ascii="PT Astra Serif" w:hAnsi="PT Astra Serif"/>
          <w:b/>
          <w:bCs/>
          <w:lang w:val="en-US"/>
        </w:rPr>
        <w:t>q</w:t>
      </w:r>
      <w:r>
        <w:rPr>
          <w:rFonts w:cs="PT Astra Serif" w:ascii="PT Astra Serif" w:hAnsi="PT Astra Serif"/>
          <w:b/>
          <w:bCs/>
        </w:rPr>
        <w:t>) * ИЦП</w:t>
      </w:r>
      <w:r>
        <w:rPr>
          <w:rFonts w:cs="PT Astra Serif" w:ascii="PT Astra Serif" w:hAnsi="PT Astra Serif"/>
          <w:b/>
          <w:bCs/>
          <w:vertAlign w:val="subscript"/>
          <w:lang w:val="en-US"/>
        </w:rPr>
        <w:t>t</w:t>
      </w:r>
      <w:r>
        <w:rPr>
          <w:rFonts w:cs="PT Astra Serif" w:ascii="PT Astra Serif" w:hAnsi="PT Astra Serif"/>
          <w:b/>
          <w:bCs/>
          <w:vertAlign w:val="subscript"/>
        </w:rPr>
        <w:t>+1</w:t>
      </w:r>
      <w:r>
        <w:rPr>
          <w:rFonts w:cs="PT Astra Serif" w:ascii="PT Astra Serif" w:hAnsi="PT Astra Serif"/>
          <w:b/>
          <w:bCs/>
        </w:rPr>
        <w:t>) = ПТП</w:t>
      </w:r>
      <w:r>
        <w:rPr>
          <w:rFonts w:cs="PT Astra Serif" w:ascii="PT Astra Serif" w:hAnsi="PT Astra Serif"/>
          <w:b/>
          <w:bCs/>
          <w:vertAlign w:val="subscript"/>
          <w:lang w:val="en-US"/>
        </w:rPr>
        <w:t>i</w:t>
      </w:r>
      <w:r>
        <w:rPr>
          <w:rFonts w:cs="PT Astra Serif" w:ascii="PT Astra Serif" w:hAnsi="PT Astra Serif"/>
          <w:b/>
          <w:bCs/>
          <w:vertAlign w:val="subscript"/>
        </w:rPr>
        <w:t xml:space="preserve"> вл(кл)+тп) </w:t>
      </w:r>
      <w:r>
        <w:rPr>
          <w:rFonts w:cs="PT Astra Serif" w:ascii="PT Astra Serif" w:hAnsi="PT Astra Serif"/>
          <w:b/>
          <w:bCs/>
        </w:rPr>
        <w:t xml:space="preserve"> </w:t>
      </w:r>
      <w:r>
        <w:rPr>
          <w:rFonts w:cs="PT Astra Serif" w:ascii="PT Astra Serif" w:hAnsi="PT Astra Serif"/>
          <w:bCs/>
        </w:rPr>
        <w:t>(руб.) (без НДС)</w:t>
      </w:r>
    </w:p>
    <w:p>
      <w:pPr>
        <w:pStyle w:val="Normal"/>
        <w:jc w:val="both"/>
        <w:rPr/>
      </w:pPr>
      <w:r>
        <w:rPr>
          <w:rFonts w:cs="PT Astra Serif" w:ascii="PT Astra Serif" w:hAnsi="PT Astra Serif"/>
          <w:b/>
          <w:bCs/>
        </w:rPr>
        <w:t xml:space="preserve">д) </w:t>
      </w:r>
      <w:r>
        <w:rPr>
          <w:rFonts w:cs="PT Astra Serif" w:ascii="PT Astra Serif" w:hAnsi="PT Astra Serif"/>
          <w:bCs/>
        </w:rPr>
        <w:t>Если при технологическом присоединении по инициативе (обращению) Заявителя, максимальная мощность энергопринимающих устройств которого составляет не менее 670 кВт, установлены сроки выполнения мероприятий по технологическому присоединению более двух лет (но не более четырех лет):</w:t>
      </w:r>
    </w:p>
    <w:p>
      <w:pPr>
        <w:pStyle w:val="Normal"/>
        <w:jc w:val="both"/>
        <w:rPr/>
      </w:pPr>
      <w:r>
        <w:rPr>
          <w:rFonts w:cs="PT Astra Serif" w:ascii="PT Astra Serif" w:hAnsi="PT Astra Serif"/>
          <w:b/>
          <w:bCs/>
          <w:lang w:val="en-US"/>
        </w:rPr>
        <w:t>C</w:t>
      </w:r>
      <w:r>
        <w:rPr>
          <w:rFonts w:cs="PT Astra Serif" w:ascii="PT Astra Serif" w:hAnsi="PT Astra Serif"/>
          <w:b/>
          <w:bCs/>
          <w:vertAlign w:val="subscript"/>
        </w:rPr>
        <w:t xml:space="preserve">1 </w:t>
      </w:r>
      <w:r>
        <w:rPr>
          <w:rFonts w:cs="PT Astra Serif" w:ascii="PT Astra Serif" w:hAnsi="PT Astra Serif"/>
          <w:b/>
          <w:bCs/>
        </w:rPr>
        <w:t>+ (0,5*(</w:t>
      </w:r>
      <w:r>
        <w:rPr>
          <w:rFonts w:cs="PT Astra Serif" w:ascii="PT Astra Serif" w:hAnsi="PT Astra Serif"/>
          <w:b/>
          <w:bCs/>
          <w:lang w:val="en-US"/>
        </w:rPr>
        <w:t>C</w:t>
      </w:r>
      <w:r>
        <w:rPr>
          <w:rFonts w:cs="PT Astra Serif" w:ascii="PT Astra Serif" w:hAnsi="PT Astra Serif"/>
          <w:b/>
          <w:bCs/>
        </w:rPr>
        <w:t>2</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Li</w:t>
      </w:r>
      <w:r>
        <w:rPr>
          <w:rFonts w:cs="PT Astra Serif" w:ascii="PT Astra Serif" w:hAnsi="PT Astra Serif"/>
          <w:b/>
          <w:bCs/>
        </w:rPr>
        <w:t xml:space="preserve">(вл) + </w:t>
      </w:r>
      <w:r>
        <w:rPr>
          <w:rFonts w:cs="PT Astra Serif" w:ascii="PT Astra Serif" w:hAnsi="PT Astra Serif"/>
          <w:b/>
          <w:bCs/>
          <w:lang w:val="en-US"/>
        </w:rPr>
        <w:t>C</w:t>
      </w:r>
      <w:r>
        <w:rPr>
          <w:rFonts w:cs="PT Astra Serif" w:ascii="PT Astra Serif" w:hAnsi="PT Astra Serif"/>
          <w:b/>
          <w:bCs/>
        </w:rPr>
        <w:t>3</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Li</w:t>
      </w:r>
      <w:r>
        <w:rPr>
          <w:rFonts w:cs="PT Astra Serif" w:ascii="PT Astra Serif" w:hAnsi="PT Astra Serif"/>
          <w:b/>
          <w:bCs/>
        </w:rPr>
        <w:t xml:space="preserve">(кл)+ </w:t>
      </w:r>
      <w:r>
        <w:rPr>
          <w:rFonts w:cs="PT Astra Serif" w:ascii="PT Astra Serif" w:hAnsi="PT Astra Serif"/>
          <w:b/>
          <w:bCs/>
          <w:lang w:val="en-US"/>
        </w:rPr>
        <w:t>C</w:t>
      </w:r>
      <w:r>
        <w:rPr>
          <w:rFonts w:cs="PT Astra Serif" w:ascii="PT Astra Serif" w:hAnsi="PT Astra Serif"/>
          <w:b/>
          <w:bCs/>
        </w:rPr>
        <w:t>4</w:t>
      </w:r>
      <w:r>
        <w:rPr>
          <w:rFonts w:cs="PT Astra Serif" w:ascii="PT Astra Serif" w:hAnsi="PT Astra Serif"/>
          <w:b/>
          <w:bCs/>
          <w:lang w:val="en-US"/>
        </w:rPr>
        <w:t>ij</w:t>
      </w:r>
      <w:r>
        <w:rPr>
          <w:rFonts w:cs="PT Astra Serif" w:ascii="PT Astra Serif" w:hAnsi="PT Astra Serif"/>
          <w:b/>
          <w:bCs/>
        </w:rPr>
        <w:t xml:space="preserve">*Т + </w:t>
      </w:r>
      <w:r>
        <w:rPr>
          <w:rFonts w:cs="PT Astra Serif" w:ascii="PT Astra Serif" w:hAnsi="PT Astra Serif"/>
          <w:b/>
          <w:bCs/>
          <w:lang w:val="en-US"/>
        </w:rPr>
        <w:t>C</w:t>
      </w:r>
      <w:r>
        <w:rPr>
          <w:rFonts w:cs="PT Astra Serif" w:ascii="PT Astra Serif" w:hAnsi="PT Astra Serif"/>
          <w:b/>
          <w:bCs/>
        </w:rPr>
        <w:t>5</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rPr>
        <w:t>6</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rPr>
        <w:t>7</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+С8*</w:t>
      </w:r>
      <w:r>
        <w:rPr>
          <w:rFonts w:cs="PT Astra Serif" w:ascii="PT Astra Serif" w:hAnsi="PT Astra Serif"/>
          <w:b/>
          <w:bCs/>
          <w:lang w:val="en-US"/>
        </w:rPr>
        <w:t>q</w:t>
      </w:r>
      <w:r>
        <w:rPr>
          <w:rFonts w:cs="PT Astra Serif" w:ascii="PT Astra Serif" w:hAnsi="PT Astra Serif"/>
          <w:b/>
          <w:bCs/>
        </w:rPr>
        <w:t>)</w:t>
      </w:r>
      <w:r>
        <w:rPr>
          <w:rFonts w:cs="PT Astra Serif" w:ascii="PT Astra Serif" w:hAnsi="PT Astra Serif"/>
          <w:b/>
          <w:bCs/>
          <w:szCs w:val="20"/>
        </w:rPr>
        <w:t xml:space="preserve"> *(ИЦП</w:t>
      </w:r>
      <w:r>
        <w:rPr>
          <w:rFonts w:cs="PT Astra Serif" w:ascii="PT Astra Serif" w:hAnsi="PT Astra Serif"/>
          <w:b/>
          <w:bCs/>
          <w:szCs w:val="20"/>
          <w:vertAlign w:val="subscript"/>
          <w:lang w:val="en-US"/>
        </w:rPr>
        <w:t>t</w:t>
      </w:r>
      <w:r>
        <w:rPr>
          <w:rFonts w:cs="PT Astra Serif" w:ascii="PT Astra Serif" w:hAnsi="PT Astra Serif"/>
          <w:b/>
          <w:bCs/>
          <w:szCs w:val="20"/>
          <w:vertAlign w:val="subscript"/>
        </w:rPr>
        <w:t>+1</w:t>
      </w:r>
      <w:r>
        <w:rPr>
          <w:rFonts w:cs="PT Astra Serif" w:ascii="PT Astra Serif" w:hAnsi="PT Astra Serif"/>
          <w:b/>
          <w:bCs/>
          <w:szCs w:val="20"/>
        </w:rPr>
        <w:t>*ИЦП</w:t>
      </w:r>
      <w:r>
        <w:rPr>
          <w:rFonts w:cs="PT Astra Serif" w:ascii="PT Astra Serif" w:hAnsi="PT Astra Serif"/>
          <w:b/>
          <w:bCs/>
          <w:szCs w:val="20"/>
          <w:vertAlign w:val="subscript"/>
          <w:lang w:val="en-US"/>
        </w:rPr>
        <w:t>t</w:t>
      </w:r>
      <w:r>
        <w:rPr>
          <w:rFonts w:cs="PT Astra Serif" w:ascii="PT Astra Serif" w:hAnsi="PT Astra Serif"/>
          <w:b/>
          <w:bCs/>
          <w:szCs w:val="20"/>
          <w:vertAlign w:val="subscript"/>
        </w:rPr>
        <w:t>+0,5</w:t>
      </w:r>
      <w:r>
        <w:rPr>
          <w:rFonts w:cs="PT Astra Serif" w:ascii="PT Astra Serif" w:hAnsi="PT Astra Serif"/>
          <w:b/>
          <w:bCs/>
          <w:szCs w:val="20"/>
          <w:vertAlign w:val="subscript"/>
          <w:lang w:val="en-US"/>
        </w:rPr>
        <w:t>f</w:t>
      </w:r>
      <w:r>
        <w:rPr>
          <w:rFonts w:cs="PT Astra Serif" w:ascii="PT Astra Serif" w:hAnsi="PT Astra Serif"/>
          <w:b/>
          <w:bCs/>
          <w:szCs w:val="20"/>
        </w:rPr>
        <w:t>)</w:t>
      </w:r>
      <w:r>
        <w:rPr>
          <w:rFonts w:cs="PT Astra Serif" w:ascii="PT Astra Serif" w:hAnsi="PT Astra Serif"/>
          <w:b/>
          <w:bCs/>
        </w:rPr>
        <w:t>) + (0,5*(</w:t>
      </w:r>
      <w:r>
        <w:rPr>
          <w:rFonts w:cs="PT Astra Serif" w:ascii="PT Astra Serif" w:hAnsi="PT Astra Serif"/>
          <w:b/>
          <w:bCs/>
          <w:lang w:val="en-US"/>
        </w:rPr>
        <w:t>C</w:t>
      </w:r>
      <w:r>
        <w:rPr>
          <w:rFonts w:cs="PT Astra Serif" w:ascii="PT Astra Serif" w:hAnsi="PT Astra Serif"/>
          <w:b/>
          <w:bCs/>
        </w:rPr>
        <w:t>2</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Li</w:t>
      </w:r>
      <w:r>
        <w:rPr>
          <w:rFonts w:cs="PT Astra Serif" w:ascii="PT Astra Serif" w:hAnsi="PT Astra Serif"/>
          <w:b/>
          <w:bCs/>
        </w:rPr>
        <w:t xml:space="preserve">(вл) + </w:t>
      </w:r>
      <w:r>
        <w:rPr>
          <w:rFonts w:cs="PT Astra Serif" w:ascii="PT Astra Serif" w:hAnsi="PT Astra Serif"/>
          <w:b/>
          <w:bCs/>
          <w:lang w:val="en-US"/>
        </w:rPr>
        <w:t>C</w:t>
      </w:r>
      <w:r>
        <w:rPr>
          <w:rFonts w:cs="PT Astra Serif" w:ascii="PT Astra Serif" w:hAnsi="PT Astra Serif"/>
          <w:b/>
          <w:bCs/>
        </w:rPr>
        <w:t>3</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Li</w:t>
      </w:r>
      <w:r>
        <w:rPr>
          <w:rFonts w:cs="PT Astra Serif" w:ascii="PT Astra Serif" w:hAnsi="PT Astra Serif"/>
          <w:b/>
          <w:bCs/>
        </w:rPr>
        <w:t xml:space="preserve">(кл)+ </w:t>
      </w:r>
      <w:r>
        <w:rPr>
          <w:rFonts w:cs="PT Astra Serif" w:ascii="PT Astra Serif" w:hAnsi="PT Astra Serif"/>
          <w:b/>
          <w:bCs/>
          <w:lang w:val="en-US"/>
        </w:rPr>
        <w:t>C</w:t>
      </w:r>
      <w:r>
        <w:rPr>
          <w:rFonts w:cs="PT Astra Serif" w:ascii="PT Astra Serif" w:hAnsi="PT Astra Serif"/>
          <w:b/>
          <w:bCs/>
        </w:rPr>
        <w:t>4</w:t>
      </w:r>
      <w:r>
        <w:rPr>
          <w:rFonts w:cs="PT Astra Serif" w:ascii="PT Astra Serif" w:hAnsi="PT Astra Serif"/>
          <w:b/>
          <w:bCs/>
          <w:lang w:val="en-US"/>
        </w:rPr>
        <w:t>ij</w:t>
      </w:r>
      <w:r>
        <w:rPr>
          <w:rFonts w:cs="PT Astra Serif" w:ascii="PT Astra Serif" w:hAnsi="PT Astra Serif"/>
          <w:b/>
          <w:bCs/>
        </w:rPr>
        <w:t xml:space="preserve">*Т + </w:t>
      </w:r>
      <w:r>
        <w:rPr>
          <w:rFonts w:cs="PT Astra Serif" w:ascii="PT Astra Serif" w:hAnsi="PT Astra Serif"/>
          <w:b/>
          <w:bCs/>
          <w:lang w:val="en-US"/>
        </w:rPr>
        <w:t>C</w:t>
      </w:r>
      <w:r>
        <w:rPr>
          <w:rFonts w:cs="PT Astra Serif" w:ascii="PT Astra Serif" w:hAnsi="PT Astra Serif"/>
          <w:b/>
          <w:bCs/>
        </w:rPr>
        <w:t>5</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rPr>
        <w:t>6</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rPr>
        <w:t>7</w:t>
      </w:r>
      <w:r>
        <w:rPr>
          <w:rFonts w:cs="PT Astra Serif" w:ascii="PT Astra Serif" w:hAnsi="PT Astra Serif"/>
          <w:b/>
          <w:bCs/>
          <w:lang w:val="en-US"/>
        </w:rPr>
        <w:t>ij</w:t>
      </w:r>
      <w:r>
        <w:rPr>
          <w:rFonts w:cs="PT Astra Serif" w:ascii="PT Astra Serif" w:hAnsi="PT Astra Serif"/>
          <w:b/>
          <w:bCs/>
        </w:rPr>
        <w:t>*</w:t>
      </w:r>
      <w:r>
        <w:rPr>
          <w:rFonts w:cs="PT Astra Serif" w:ascii="PT Astra Serif" w:hAnsi="PT Astra Serif"/>
          <w:b/>
          <w:bCs/>
          <w:lang w:val="en-US"/>
        </w:rPr>
        <w:t>Ni</w:t>
      </w:r>
      <w:r>
        <w:rPr>
          <w:rFonts w:cs="PT Astra Serif" w:ascii="PT Astra Serif" w:hAnsi="PT Astra Serif"/>
          <w:b/>
          <w:bCs/>
        </w:rPr>
        <w:t>+С8*</w:t>
      </w:r>
      <w:r>
        <w:rPr>
          <w:rFonts w:cs="PT Astra Serif" w:ascii="PT Astra Serif" w:hAnsi="PT Astra Serif"/>
          <w:b/>
          <w:bCs/>
          <w:lang w:val="en-US"/>
        </w:rPr>
        <w:t>q</w:t>
      </w:r>
      <w:r>
        <w:rPr>
          <w:rFonts w:cs="PT Astra Serif" w:ascii="PT Astra Serif" w:hAnsi="PT Astra Serif"/>
          <w:b/>
          <w:bCs/>
        </w:rPr>
        <w:t xml:space="preserve">) </w:t>
      </w:r>
      <w:r>
        <w:rPr>
          <w:rFonts w:cs="PT Astra Serif" w:ascii="PT Astra Serif" w:hAnsi="PT Astra Serif"/>
          <w:b/>
          <w:bCs/>
          <w:szCs w:val="20"/>
        </w:rPr>
        <w:t>* (ИЦП</w:t>
      </w:r>
      <w:r>
        <w:rPr>
          <w:rFonts w:cs="PT Astra Serif" w:ascii="PT Astra Serif" w:hAnsi="PT Astra Serif"/>
          <w:b/>
          <w:bCs/>
          <w:szCs w:val="20"/>
          <w:vertAlign w:val="subscript"/>
          <w:lang w:val="en-US"/>
        </w:rPr>
        <w:t>t</w:t>
      </w:r>
      <w:r>
        <w:rPr>
          <w:rFonts w:cs="PT Astra Serif" w:ascii="PT Astra Serif" w:hAnsi="PT Astra Serif"/>
          <w:b/>
          <w:bCs/>
          <w:szCs w:val="20"/>
          <w:vertAlign w:val="subscript"/>
        </w:rPr>
        <w:t>+1</w:t>
      </w:r>
      <w:r>
        <w:rPr>
          <w:rFonts w:cs="PT Astra Serif" w:ascii="PT Astra Serif" w:hAnsi="PT Astra Serif"/>
          <w:b/>
          <w:bCs/>
          <w:szCs w:val="20"/>
        </w:rPr>
        <w:t>*ИЦП</w:t>
      </w:r>
      <w:r>
        <w:rPr>
          <w:rFonts w:cs="PT Astra Serif" w:ascii="PT Astra Serif" w:hAnsi="PT Astra Serif"/>
          <w:b/>
          <w:bCs/>
          <w:szCs w:val="20"/>
          <w:vertAlign w:val="subscript"/>
          <w:lang w:val="en-US"/>
        </w:rPr>
        <w:t>t</w:t>
      </w:r>
      <w:r>
        <w:rPr>
          <w:rFonts w:cs="PT Astra Serif" w:ascii="PT Astra Serif" w:hAnsi="PT Astra Serif"/>
          <w:b/>
          <w:bCs/>
          <w:szCs w:val="20"/>
          <w:vertAlign w:val="subscript"/>
        </w:rPr>
        <w:t>+2…</w:t>
      </w:r>
      <w:r>
        <w:rPr>
          <w:rFonts w:cs="PT Astra Serif" w:ascii="PT Astra Serif" w:hAnsi="PT Astra Serif"/>
          <w:b/>
          <w:bCs/>
          <w:szCs w:val="20"/>
        </w:rPr>
        <w:t>ИЦП</w:t>
      </w:r>
      <w:r>
        <w:rPr>
          <w:rFonts w:cs="PT Astra Serif" w:ascii="PT Astra Serif" w:hAnsi="PT Astra Serif"/>
          <w:b/>
          <w:bCs/>
          <w:szCs w:val="20"/>
          <w:vertAlign w:val="subscript"/>
          <w:lang w:val="en-US"/>
        </w:rPr>
        <w:t>t</w:t>
      </w:r>
      <w:r>
        <w:rPr>
          <w:rFonts w:cs="PT Astra Serif" w:ascii="PT Astra Serif" w:hAnsi="PT Astra Serif"/>
          <w:b/>
          <w:bCs/>
          <w:szCs w:val="20"/>
          <w:vertAlign w:val="subscript"/>
        </w:rPr>
        <w:t>+</w:t>
      </w:r>
      <w:r>
        <w:rPr>
          <w:rFonts w:cs="PT Astra Serif" w:ascii="PT Astra Serif" w:hAnsi="PT Astra Serif"/>
          <w:b/>
          <w:bCs/>
          <w:szCs w:val="20"/>
          <w:vertAlign w:val="subscript"/>
          <w:lang w:val="en-US"/>
        </w:rPr>
        <w:t>f</w:t>
      </w:r>
      <w:r>
        <w:rPr>
          <w:rFonts w:cs="PT Astra Serif" w:ascii="PT Astra Serif" w:hAnsi="PT Astra Serif"/>
          <w:b/>
          <w:bCs/>
          <w:szCs w:val="20"/>
        </w:rPr>
        <w:t>)</w:t>
      </w:r>
      <w:r>
        <w:rPr>
          <w:rFonts w:cs="PT Astra Serif" w:ascii="PT Astra Serif" w:hAnsi="PT Astra Serif"/>
          <w:b/>
          <w:bCs/>
        </w:rPr>
        <w:t>) = ПТП</w:t>
      </w:r>
      <w:r>
        <w:rPr>
          <w:rFonts w:cs="PT Astra Serif" w:ascii="PT Astra Serif" w:hAnsi="PT Astra Serif"/>
          <w:b/>
          <w:bCs/>
          <w:vertAlign w:val="subscript"/>
          <w:lang w:val="en-US"/>
        </w:rPr>
        <w:t>i</w:t>
      </w:r>
      <w:r>
        <w:rPr>
          <w:rFonts w:cs="PT Astra Serif" w:ascii="PT Astra Serif" w:hAnsi="PT Astra Serif"/>
          <w:b/>
          <w:bCs/>
          <w:vertAlign w:val="subscript"/>
        </w:rPr>
        <w:t xml:space="preserve"> вл(кл)+тп) </w:t>
      </w:r>
      <w:r>
        <w:rPr>
          <w:rFonts w:cs="PT Astra Serif" w:ascii="PT Astra Serif" w:hAnsi="PT Astra Serif"/>
          <w:b/>
          <w:bCs/>
        </w:rPr>
        <w:t xml:space="preserve"> </w:t>
      </w:r>
      <w:r>
        <w:rPr>
          <w:rFonts w:cs="PT Astra Serif" w:ascii="PT Astra Serif" w:hAnsi="PT Astra Serif"/>
          <w:bCs/>
        </w:rPr>
        <w:t>(руб.) (без НДС)</w:t>
      </w:r>
    </w:p>
    <w:p>
      <w:pPr>
        <w:pStyle w:val="Normal"/>
        <w:jc w:val="both"/>
        <w:rPr>
          <w:rFonts w:ascii="PT Astra Serif" w:hAnsi="PT Astra Serif" w:cs="PT Astra Serif"/>
          <w:bCs/>
        </w:rPr>
      </w:pPr>
      <w:r>
        <w:rPr>
          <w:rFonts w:cs="PT Astra Serif" w:ascii="PT Astra Serif" w:hAnsi="PT Astra Serif"/>
          <w:bCs/>
        </w:rPr>
        <w:t>где:</w:t>
      </w:r>
    </w:p>
    <w:p>
      <w:pPr>
        <w:pStyle w:val="Normal"/>
        <w:jc w:val="both"/>
        <w:rPr/>
      </w:pPr>
      <w:r>
        <w:rPr>
          <w:rFonts w:cs="PT Astra Serif" w:ascii="PT Astra Serif" w:hAnsi="PT Astra Serif"/>
          <w:b/>
          <w:bCs/>
          <w:lang w:val="en-US"/>
        </w:rPr>
        <w:t>i</w:t>
      </w:r>
      <w:r>
        <w:rPr>
          <w:rFonts w:cs="PT Astra Serif" w:ascii="PT Astra Serif" w:hAnsi="PT Astra Serif"/>
          <w:bCs/>
        </w:rPr>
        <w:t xml:space="preserve"> – уровень напряжения;</w:t>
      </w:r>
    </w:p>
    <w:p>
      <w:pPr>
        <w:pStyle w:val="Normal"/>
        <w:jc w:val="both"/>
        <w:rPr/>
      </w:pPr>
      <w:r>
        <w:rPr>
          <w:rFonts w:cs="PT Astra Serif" w:ascii="PT Astra Serif" w:hAnsi="PT Astra Serif"/>
          <w:b/>
          <w:bCs/>
          <w:lang w:val="en-US"/>
        </w:rPr>
        <w:t>j</w:t>
      </w:r>
      <w:r>
        <w:rPr>
          <w:rFonts w:cs="PT Astra Serif" w:ascii="PT Astra Serif" w:hAnsi="PT Astra Serif"/>
          <w:b/>
          <w:bCs/>
        </w:rPr>
        <w:t xml:space="preserve"> </w:t>
      </w:r>
      <w:r>
        <w:rPr>
          <w:rFonts w:cs="PT Astra Serif" w:ascii="PT Astra Serif" w:hAnsi="PT Astra Serif"/>
          <w:bCs/>
        </w:rPr>
        <w:t>– диапазон присоединяемой мощности;</w:t>
      </w:r>
    </w:p>
    <w:p>
      <w:pPr>
        <w:pStyle w:val="Normal"/>
        <w:jc w:val="both"/>
        <w:rPr/>
      </w:pPr>
      <w:r>
        <w:rPr>
          <w:rFonts w:cs="PT Astra Serif" w:ascii="PT Astra Serif" w:hAnsi="PT Astra Serif"/>
          <w:b/>
          <w:bCs/>
          <w:lang w:val="en-US"/>
        </w:rPr>
        <w:t>t</w:t>
      </w:r>
      <w:r>
        <w:rPr>
          <w:rFonts w:cs="PT Astra Serif" w:ascii="PT Astra Serif" w:hAnsi="PT Astra Serif"/>
          <w:b/>
          <w:bCs/>
        </w:rPr>
        <w:t xml:space="preserve"> – </w:t>
      </w:r>
      <w:r>
        <w:rPr>
          <w:rFonts w:cs="PT Astra Serif" w:ascii="PT Astra Serif" w:hAnsi="PT Astra Serif"/>
          <w:bCs/>
        </w:rPr>
        <w:t>год утверждения платы;</w:t>
      </w:r>
    </w:p>
    <w:p>
      <w:pPr>
        <w:pStyle w:val="Normal"/>
        <w:jc w:val="both"/>
        <w:rPr/>
      </w:pPr>
      <w:r>
        <w:rPr>
          <w:rFonts w:cs="PT Astra Serif" w:ascii="PT Astra Serif" w:hAnsi="PT Astra Serif"/>
          <w:b/>
          <w:bCs/>
          <w:lang w:val="en-US"/>
        </w:rPr>
        <w:t>f</w:t>
      </w:r>
      <w:r>
        <w:rPr>
          <w:rFonts w:cs="PT Astra Serif" w:ascii="PT Astra Serif" w:hAnsi="PT Astra Serif"/>
          <w:b/>
          <w:bCs/>
        </w:rPr>
        <w:t xml:space="preserve"> </w:t>
      </w:r>
      <w:r>
        <w:rPr>
          <w:rFonts w:cs="PT Astra Serif" w:ascii="PT Astra Serif" w:hAnsi="PT Astra Serif"/>
          <w:bCs/>
        </w:rPr>
        <w:t>– период, указанный в технических условиях, начиная с года, следующего за годом утверждения платы;</w:t>
      </w:r>
    </w:p>
    <w:p>
      <w:pPr>
        <w:pStyle w:val="Normal"/>
        <w:jc w:val="both"/>
        <w:rPr/>
      </w:pPr>
      <w:r>
        <w:rPr>
          <w:rFonts w:cs="PT Astra Serif" w:ascii="PT Astra Serif" w:hAnsi="PT Astra Serif"/>
          <w:b/>
          <w:bCs/>
          <w:lang w:val="en-US"/>
        </w:rPr>
        <w:t>N</w:t>
      </w:r>
      <w:r>
        <w:rPr>
          <w:rFonts w:cs="PT Astra Serif" w:ascii="PT Astra Serif" w:hAnsi="PT Astra Serif"/>
          <w:b/>
          <w:bCs/>
          <w:vertAlign w:val="subscript"/>
          <w:lang w:val="en-US"/>
        </w:rPr>
        <w:t>i</w:t>
      </w:r>
      <w:r>
        <w:rPr>
          <w:rFonts w:cs="PT Astra Serif" w:ascii="PT Astra Serif" w:hAnsi="PT Astra Serif"/>
          <w:b/>
          <w:bCs/>
        </w:rPr>
        <w:t xml:space="preserve"> – </w:t>
      </w:r>
      <w:r>
        <w:rPr>
          <w:rFonts w:cs="PT Astra Serif" w:ascii="PT Astra Serif" w:hAnsi="PT Astra Serif"/>
          <w:bCs/>
        </w:rPr>
        <w:t>объем максимальной мощности, указанной в заявке Заявителя;</w:t>
      </w:r>
    </w:p>
    <w:p>
      <w:pPr>
        <w:pStyle w:val="Normal"/>
        <w:jc w:val="both"/>
        <w:rPr/>
      </w:pPr>
      <w:r>
        <w:rPr>
          <w:rFonts w:cs="PT Astra Serif" w:ascii="PT Astra Serif" w:hAnsi="PT Astra Serif"/>
          <w:b/>
          <w:bCs/>
          <w:lang w:val="en-US"/>
        </w:rPr>
        <w:t>L</w:t>
      </w:r>
      <w:r>
        <w:rPr>
          <w:rFonts w:cs="PT Astra Serif" w:ascii="PT Astra Serif" w:hAnsi="PT Astra Serif"/>
          <w:b/>
          <w:bCs/>
          <w:vertAlign w:val="subscript"/>
          <w:lang w:val="en-US"/>
        </w:rPr>
        <w:t>i</w:t>
      </w:r>
      <w:r>
        <w:rPr>
          <w:rFonts w:cs="PT Astra Serif" w:ascii="PT Astra Serif" w:hAnsi="PT Astra Serif"/>
          <w:b/>
          <w:bCs/>
          <w:vertAlign w:val="subscript"/>
        </w:rPr>
        <w:t xml:space="preserve"> (вл(кл) </w:t>
      </w:r>
      <w:r>
        <w:rPr>
          <w:rFonts w:cs="PT Astra Serif" w:ascii="PT Astra Serif" w:hAnsi="PT Astra Serif"/>
          <w:b/>
          <w:bCs/>
        </w:rPr>
        <w:t xml:space="preserve"> – </w:t>
      </w:r>
      <w:r>
        <w:rPr>
          <w:rFonts w:cs="PT Astra Serif" w:ascii="PT Astra Serif" w:hAnsi="PT Astra Serif"/>
          <w:bCs/>
        </w:rPr>
        <w:t xml:space="preserve">протяженность ВЛ (КЛ) на </w:t>
      </w:r>
      <w:r>
        <w:rPr>
          <w:rFonts w:cs="PT Astra Serif" w:ascii="PT Astra Serif" w:hAnsi="PT Astra Serif"/>
          <w:bCs/>
          <w:lang w:val="en-US"/>
        </w:rPr>
        <w:t>i</w:t>
      </w:r>
      <w:r>
        <w:rPr>
          <w:rFonts w:cs="PT Astra Serif" w:ascii="PT Astra Serif" w:hAnsi="PT Astra Serif"/>
          <w:bCs/>
        </w:rPr>
        <w:t>-том уровне напряжения;</w:t>
      </w:r>
    </w:p>
    <w:p>
      <w:pPr>
        <w:pStyle w:val="Normal"/>
        <w:jc w:val="both"/>
        <w:rPr/>
      </w:pPr>
      <w:r>
        <w:rPr>
          <w:rFonts w:cs="PT Astra Serif" w:ascii="PT Astra Serif" w:hAnsi="PT Astra Serif"/>
          <w:b/>
          <w:bCs/>
        </w:rPr>
        <w:t>T</w:t>
      </w:r>
      <w:r>
        <w:rPr>
          <w:rFonts w:cs="PT Astra Serif" w:ascii="PT Astra Serif" w:hAnsi="PT Astra Serif"/>
          <w:bCs/>
        </w:rPr>
        <w:t>- количество пунктов секционирования (шт.);</w:t>
      </w:r>
    </w:p>
    <w:p>
      <w:pPr>
        <w:pStyle w:val="Normal"/>
        <w:jc w:val="both"/>
        <w:rPr/>
      </w:pPr>
      <w:r>
        <w:rPr>
          <w:rFonts w:cs="PT Astra Serif" w:ascii="PT Astra Serif" w:hAnsi="PT Astra Serif"/>
          <w:b/>
          <w:bCs/>
          <w:lang w:val="en-US"/>
        </w:rPr>
        <w:t>q</w:t>
      </w:r>
      <w:r>
        <w:rPr>
          <w:rFonts w:cs="PT Astra Serif" w:ascii="PT Astra Serif" w:hAnsi="PT Astra Serif"/>
          <w:bCs/>
        </w:rPr>
        <w:t xml:space="preserve"> - количество средств коммерческого учета электрической энергии</w:t>
      </w:r>
    </w:p>
    <w:p>
      <w:pPr>
        <w:pStyle w:val="Normal"/>
        <w:jc w:val="both"/>
        <w:rPr>
          <w:rFonts w:ascii="PT Astra Serif" w:hAnsi="PT Astra Serif" w:cs="PT Astra Serif"/>
          <w:bCs/>
        </w:rPr>
      </w:pPr>
      <w:r>
        <w:rPr>
          <w:rFonts w:cs="PT Astra Serif" w:ascii="PT Astra Serif" w:hAnsi="PT Astra Serif"/>
          <w:bCs/>
        </w:rPr>
        <w:t>(мощности);</w:t>
      </w:r>
    </w:p>
    <w:p>
      <w:pPr>
        <w:pStyle w:val="Normal"/>
        <w:jc w:val="both"/>
        <w:rPr/>
      </w:pPr>
      <w:r>
        <w:rPr>
          <w:rFonts w:cs="PT Astra Serif" w:ascii="PT Astra Serif" w:hAnsi="PT Astra Serif"/>
          <w:b/>
          <w:bCs/>
          <w:lang w:val="en-US"/>
        </w:rPr>
        <w:t>C</w:t>
      </w:r>
      <w:r>
        <w:rPr>
          <w:rFonts w:cs="PT Astra Serif" w:ascii="PT Astra Serif" w:hAnsi="PT Astra Serif"/>
          <w:b/>
          <w:bCs/>
          <w:vertAlign w:val="subscript"/>
        </w:rPr>
        <w:t>1</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2</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3</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4</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5</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6</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7</w:t>
      </w:r>
      <w:r>
        <w:rPr>
          <w:rFonts w:cs="PT Astra Serif" w:ascii="PT Astra Serif" w:hAnsi="PT Astra Serif"/>
          <w:b/>
          <w:bCs/>
        </w:rPr>
        <w:t xml:space="preserve">, </w:t>
      </w:r>
      <w:r>
        <w:rPr>
          <w:rFonts w:cs="PT Astra Serif" w:ascii="PT Astra Serif" w:hAnsi="PT Astra Serif"/>
          <w:b/>
          <w:bCs/>
          <w:lang w:val="en-US"/>
        </w:rPr>
        <w:t>C</w:t>
      </w:r>
      <w:r>
        <w:rPr>
          <w:rFonts w:cs="PT Astra Serif" w:ascii="PT Astra Serif" w:hAnsi="PT Astra Serif"/>
          <w:b/>
          <w:bCs/>
          <w:vertAlign w:val="subscript"/>
        </w:rPr>
        <w:t>8</w:t>
      </w:r>
      <w:r>
        <w:rPr>
          <w:rFonts w:cs="PT Astra Serif" w:ascii="PT Astra Serif" w:hAnsi="PT Astra Serif"/>
          <w:b/>
          <w:bCs/>
        </w:rPr>
        <w:t xml:space="preserve"> - </w:t>
      </w:r>
      <w:r>
        <w:rPr>
          <w:rFonts w:cs="PT Astra Serif" w:ascii="PT Astra Serif" w:hAnsi="PT Astra Serif"/>
          <w:bCs/>
        </w:rPr>
        <w:t>стандартизированные тарифные ставки;</w:t>
      </w:r>
    </w:p>
    <w:p>
      <w:pPr>
        <w:pStyle w:val="Normal"/>
        <w:autoSpaceDE w:val="false"/>
        <w:jc w:val="both"/>
        <w:rPr/>
      </w:pPr>
      <w:r>
        <w:rPr>
          <w:rFonts w:cs="PT Astra Serif" w:ascii="PT Astra Serif" w:hAnsi="PT Astra Serif"/>
          <w:b/>
          <w:bCs/>
        </w:rPr>
        <w:t>ИЦП</w:t>
      </w:r>
      <w:r>
        <w:rPr>
          <w:rFonts w:cs="PT Astra Serif" w:ascii="PT Astra Serif" w:hAnsi="PT Astra Serif"/>
          <w:bCs/>
        </w:rPr>
        <w:t xml:space="preserve"> – прогнозный </w:t>
      </w:r>
      <w:r>
        <w:rPr>
          <w:rFonts w:eastAsia="Calibri" w:cs="PT Astra Serif" w:ascii="PT Astra Serif" w:hAnsi="PT Astra Serif"/>
          <w:bCs/>
        </w:rPr>
        <w:t>индекс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(при отсутствии этого индекса используется индекс потребительских цен)</w:t>
      </w:r>
      <w:r>
        <w:rPr>
          <w:rFonts w:cs="PT Astra Serif" w:ascii="PT Astra Serif" w:hAnsi="PT Astra Serif"/>
          <w:bCs/>
        </w:rPr>
        <w:t>.</w:t>
      </w:r>
    </w:p>
    <w:p>
      <w:pPr>
        <w:pStyle w:val="Normal"/>
        <w:ind w:left="567" w:hanging="0"/>
        <w:rPr>
          <w:rFonts w:ascii="Times New Roman" w:hAnsi="Times New Roman"/>
          <w:sz w:val="20"/>
        </w:rPr>
      </w:pPr>
      <w:r>
        <w:rPr>
          <w:rFonts w:ascii="Times New Roman" w:hAnsi="Times New Roman"/>
          <w:sz w:val="20"/>
        </w:rPr>
        <w:t>Текст постановления опубликован на сайте электронного периодического издания "Новости Саратовской губернии" (</w:t>
      </w:r>
      <w:hyperlink r:id="rId5">
        <w:r>
          <w:rPr>
            <w:rStyle w:val="-"/>
            <w:rFonts w:ascii="Times New Roman" w:hAnsi="Times New Roman"/>
            <w:sz w:val="20"/>
          </w:rPr>
          <w:t>http://g-64.ru/</w:t>
        </w:r>
      </w:hyperlink>
      <w:r>
        <w:rPr>
          <w:rFonts w:ascii="Times New Roman" w:hAnsi="Times New Roman"/>
          <w:sz w:val="20"/>
        </w:rPr>
        <w:t xml:space="preserve">) </w:t>
      </w:r>
      <w:r>
        <w:rPr>
          <w:rFonts w:ascii="Times New Roman" w:hAnsi="Times New Roman"/>
          <w:sz w:val="20"/>
        </w:rPr>
        <w:t>7</w:t>
      </w:r>
      <w:r>
        <w:rPr>
          <w:rFonts w:ascii="Times New Roman" w:hAnsi="Times New Roman"/>
          <w:sz w:val="20"/>
        </w:rPr>
        <w:t xml:space="preserve"> декабря 202</w:t>
      </w:r>
      <w:r>
        <w:rPr>
          <w:rFonts w:ascii="Times New Roman" w:hAnsi="Times New Roman"/>
          <w:sz w:val="20"/>
        </w:rPr>
        <w:t>4</w:t>
      </w:r>
      <w:r>
        <w:rPr>
          <w:rFonts w:ascii="Times New Roman" w:hAnsi="Times New Roman"/>
          <w:sz w:val="20"/>
        </w:rPr>
        <w:t> г.</w:t>
      </w:r>
    </w:p>
    <w:p>
      <w:pPr>
        <w:sectPr>
          <w:type w:val="nextPage"/>
          <w:pgSz w:w="11906" w:h="16838"/>
          <w:pgMar w:left="567" w:right="851" w:gutter="0" w:header="0" w:top="568" w:footer="0" w:bottom="1134"/>
          <w:pgNumType w:fmt="decimal"/>
          <w:formProt w:val="false"/>
          <w:textDirection w:val="lrTb"/>
          <w:docGrid w:type="default" w:linePitch="360" w:charSpace="0"/>
        </w:sectPr>
        <w:pStyle w:val="Normal"/>
        <w:rPr>
          <w:rFonts w:ascii="Times New Roman" w:hAnsi="Times New Roman"/>
          <w:sz w:val="20"/>
        </w:rPr>
      </w:pPr>
      <w:r>
        <w:rPr>
          <w:rFonts w:ascii="Times New Roman" w:hAnsi="Times New Roman"/>
          <w:sz w:val="20"/>
        </w:rPr>
      </w:r>
    </w:p>
    <w:p>
      <w:pPr>
        <w:pStyle w:val="Normal"/>
        <w:jc w:val="center"/>
        <w:rPr/>
      </w:pPr>
      <w:hyperlink r:id="rId6">
        <w:r>
          <w:rPr>
            <w:rStyle w:val="-"/>
            <w:rFonts w:ascii="Times New Roman" w:hAnsi="Times New Roman"/>
            <w:b w:val="false"/>
            <w:bCs w:val="false"/>
            <w:sz w:val="22"/>
            <w:szCs w:val="22"/>
          </w:rPr>
          <w:t xml:space="preserve">Постановлением комитета государственного регулирования тарифов Саратовской области от </w:t>
        </w:r>
        <w:r>
          <w:rPr>
            <w:rStyle w:val="-"/>
            <w:rFonts w:ascii="Times New Roman" w:hAnsi="Times New Roman"/>
            <w:b w:val="false"/>
            <w:bCs w:val="false"/>
            <w:sz w:val="22"/>
            <w:szCs w:val="22"/>
          </w:rPr>
          <w:t>29</w:t>
        </w:r>
        <w:r>
          <w:rPr>
            <w:rStyle w:val="-"/>
            <w:rFonts w:ascii="Times New Roman" w:hAnsi="Times New Roman"/>
            <w:b w:val="false"/>
            <w:bCs w:val="false"/>
            <w:sz w:val="22"/>
            <w:szCs w:val="22"/>
          </w:rPr>
          <w:t xml:space="preserve"> </w:t>
        </w:r>
        <w:r>
          <w:rPr>
            <w:rStyle w:val="-"/>
            <w:rFonts w:ascii="Times New Roman" w:hAnsi="Times New Roman"/>
            <w:b w:val="false"/>
            <w:bCs w:val="false"/>
            <w:sz w:val="22"/>
            <w:szCs w:val="22"/>
          </w:rPr>
          <w:t>ноября</w:t>
        </w:r>
        <w:r>
          <w:rPr>
            <w:rStyle w:val="-"/>
            <w:rFonts w:ascii="Times New Roman" w:hAnsi="Times New Roman"/>
            <w:b w:val="false"/>
            <w:bCs w:val="false"/>
            <w:sz w:val="22"/>
            <w:szCs w:val="22"/>
          </w:rPr>
          <w:t xml:space="preserve"> 202</w:t>
        </w:r>
        <w:r>
          <w:rPr>
            <w:rStyle w:val="-"/>
            <w:rFonts w:ascii="Times New Roman" w:hAnsi="Times New Roman"/>
            <w:b w:val="false"/>
            <w:bCs w:val="false"/>
            <w:sz w:val="22"/>
            <w:szCs w:val="22"/>
          </w:rPr>
          <w:t>4</w:t>
        </w:r>
        <w:r>
          <w:rPr>
            <w:rStyle w:val="-"/>
            <w:rFonts w:ascii="Times New Roman" w:hAnsi="Times New Roman"/>
            <w:b w:val="false"/>
            <w:bCs w:val="false"/>
            <w:sz w:val="22"/>
            <w:szCs w:val="22"/>
          </w:rPr>
          <w:t xml:space="preserve"> года № </w:t>
        </w:r>
        <w:r>
          <w:rPr>
            <w:rStyle w:val="-"/>
            <w:rFonts w:ascii="Times New Roman" w:hAnsi="Times New Roman"/>
            <w:b w:val="false"/>
            <w:bCs w:val="false"/>
            <w:sz w:val="22"/>
            <w:szCs w:val="22"/>
          </w:rPr>
          <w:t>78</w:t>
        </w:r>
        <w:r>
          <w:rPr>
            <w:rStyle w:val="-"/>
            <w:rFonts w:ascii="Times New Roman" w:hAnsi="Times New Roman"/>
            <w:b w:val="false"/>
            <w:bCs w:val="false"/>
            <w:sz w:val="22"/>
            <w:szCs w:val="22"/>
          </w:rPr>
          <w:t xml:space="preserve"> «</w:t>
        </w:r>
        <w:r>
          <w:rPr>
            <w:rStyle w:val="-"/>
            <w:rFonts w:cs="PT Astra Serif" w:ascii="PT Astra Serif" w:hAnsi="PT Astra Serif"/>
            <w:b w:val="false"/>
            <w:bCs w:val="false"/>
            <w:sz w:val="22"/>
            <w:szCs w:val="22"/>
          </w:rPr>
          <w:t>Об установлении льготной ставки за 1 кВт запрашиваемой максимальной мощности при технологическом присоединении объектов к территориальным распределительным сетям Саратовской области на 2025 год</w:t>
        </w:r>
        <w:r>
          <w:rPr>
            <w:rStyle w:val="-"/>
            <w:rFonts w:ascii="Times New Roman" w:hAnsi="Times New Roman"/>
            <w:b w:val="false"/>
            <w:bCs w:val="false"/>
            <w:sz w:val="22"/>
            <w:szCs w:val="22"/>
          </w:rPr>
          <w:t>» установлены и введены в действие с 1 января 202</w:t>
        </w:r>
        <w:r>
          <w:rPr>
            <w:rStyle w:val="-"/>
            <w:rFonts w:ascii="Times New Roman" w:hAnsi="Times New Roman"/>
            <w:b w:val="false"/>
            <w:bCs w:val="false"/>
            <w:sz w:val="22"/>
            <w:szCs w:val="22"/>
          </w:rPr>
          <w:t>5</w:t>
        </w:r>
        <w:r>
          <w:rPr>
            <w:rStyle w:val="-"/>
            <w:rFonts w:ascii="Times New Roman" w:hAnsi="Times New Roman"/>
            <w:b w:val="false"/>
            <w:bCs w:val="false"/>
            <w:sz w:val="22"/>
            <w:szCs w:val="22"/>
          </w:rPr>
          <w:t xml:space="preserve"> года:</w:t>
        </w:r>
      </w:hyperlink>
    </w:p>
    <w:p>
      <w:pPr>
        <w:pStyle w:val="Normal"/>
        <w:spacing w:lineRule="auto" w:line="240" w:before="0" w:after="0"/>
        <w:jc w:val="right"/>
        <w:rPr>
          <w:rFonts w:ascii="Times New Roman" w:hAnsi="Times New Roman"/>
        </w:rPr>
      </w:pPr>
      <w:r>
        <w:rPr>
          <w:rFonts w:ascii="Times New Roman" w:hAnsi="Times New Roman"/>
        </w:rPr>
        <w:t xml:space="preserve">Таблица </w:t>
      </w:r>
      <w:r>
        <w:rPr>
          <w:rFonts w:ascii="Times New Roman" w:hAnsi="Times New Roman"/>
        </w:rPr>
        <w:t>4</w:t>
      </w:r>
      <w:r>
        <w:rPr>
          <w:rFonts w:ascii="Times New Roman" w:hAnsi="Times New Roman"/>
        </w:rPr>
        <w:t>.</w:t>
      </w:r>
    </w:p>
    <w:tbl>
      <w:tblPr>
        <w:tblW w:w="15876" w:type="dxa"/>
        <w:jc w:val="left"/>
        <w:tblInd w:w="-601" w:type="dxa"/>
        <w:tblLayout w:type="fixed"/>
        <w:tblCellMar>
          <w:top w:w="0" w:type="dxa"/>
          <w:left w:w="108" w:type="dxa"/>
          <w:bottom w:w="0" w:type="dxa"/>
          <w:right w:w="108" w:type="dxa"/>
        </w:tblCellMar>
        <w:tblLook w:noVBand="1" w:val="04a0" w:noHBand="0" w:lastColumn="0" w:firstColumn="1" w:lastRow="0" w:firstRow="1"/>
      </w:tblPr>
      <w:tblGrid>
        <w:gridCol w:w="13200"/>
        <w:gridCol w:w="2676"/>
      </w:tblGrid>
      <w:tr>
        <w:trPr>
          <w:trHeight w:val="555" w:hRule="atLeast"/>
        </w:trPr>
        <w:tc>
          <w:tcPr>
            <w:tcW w:w="132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3320" w:leader="none"/>
              </w:tabs>
              <w:spacing w:lineRule="auto" w:line="240" w:before="0" w:after="0"/>
              <w:jc w:val="center"/>
              <w:rPr>
                <w:rFonts w:ascii="Arial" w:hAnsi="Arial" w:eastAsia="Times New Roman" w:cs="Arial"/>
                <w:color w:val="000000"/>
                <w:sz w:val="16"/>
                <w:szCs w:val="16"/>
                <w:lang w:eastAsia="ru-RU"/>
              </w:rPr>
            </w:pPr>
            <w:r>
              <w:rPr>
                <w:rFonts w:eastAsia="Times New Roman" w:cs="Arial" w:ascii="Arial" w:hAnsi="Arial"/>
                <w:color w:val="000000"/>
                <w:sz w:val="16"/>
                <w:szCs w:val="16"/>
                <w:lang w:eastAsia="ru-RU"/>
              </w:rPr>
              <w:t>Наименование</w:t>
            </w:r>
          </w:p>
        </w:tc>
        <w:tc>
          <w:tcPr>
            <w:tcW w:w="267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Arial" w:hAnsi="Arial" w:eastAsia="Times New Roman" w:cs="Arial"/>
                <w:color w:val="000000"/>
                <w:sz w:val="16"/>
                <w:szCs w:val="16"/>
                <w:lang w:eastAsia="ru-RU"/>
              </w:rPr>
            </w:pPr>
            <w:r>
              <w:rPr>
                <w:rFonts w:eastAsia="Times New Roman" w:cs="Arial" w:ascii="Arial" w:hAnsi="Arial"/>
                <w:color w:val="000000"/>
                <w:sz w:val="16"/>
                <w:szCs w:val="16"/>
                <w:lang w:eastAsia="ru-RU"/>
              </w:rPr>
              <w:t>Размер платы, руб./1 кВт (без учета НДС) с 1 января 202</w:t>
            </w:r>
            <w:r>
              <w:rPr>
                <w:rFonts w:eastAsia="Times New Roman" w:cs="Arial" w:ascii="Arial" w:hAnsi="Arial"/>
                <w:color w:val="000000"/>
                <w:sz w:val="16"/>
                <w:szCs w:val="16"/>
                <w:lang w:eastAsia="ru-RU"/>
              </w:rPr>
              <w:t>5</w:t>
            </w:r>
            <w:r>
              <w:rPr>
                <w:rFonts w:eastAsia="Times New Roman" w:cs="Arial" w:ascii="Arial" w:hAnsi="Arial"/>
                <w:color w:val="000000"/>
                <w:sz w:val="16"/>
                <w:szCs w:val="16"/>
                <w:lang w:eastAsia="ru-RU"/>
              </w:rPr>
              <w:t xml:space="preserve"> года по </w:t>
            </w:r>
            <w:r>
              <w:rPr>
                <w:rFonts w:eastAsia="Times New Roman" w:cs="Arial" w:ascii="Arial" w:hAnsi="Arial"/>
                <w:color w:val="000000"/>
                <w:sz w:val="16"/>
                <w:szCs w:val="16"/>
                <w:lang w:eastAsia="ru-RU"/>
              </w:rPr>
              <w:t>31</w:t>
            </w:r>
            <w:r>
              <w:rPr>
                <w:rFonts w:eastAsia="Times New Roman" w:cs="Arial" w:ascii="Arial" w:hAnsi="Arial"/>
                <w:color w:val="000000"/>
                <w:sz w:val="16"/>
                <w:szCs w:val="16"/>
                <w:lang w:eastAsia="ru-RU"/>
              </w:rPr>
              <w:t xml:space="preserve"> </w:t>
            </w:r>
            <w:r>
              <w:rPr>
                <w:rFonts w:eastAsia="Times New Roman" w:cs="Arial" w:ascii="Arial" w:hAnsi="Arial"/>
                <w:color w:val="000000"/>
                <w:sz w:val="16"/>
                <w:szCs w:val="16"/>
                <w:lang w:eastAsia="ru-RU"/>
              </w:rPr>
              <w:t>декабря</w:t>
            </w:r>
            <w:r>
              <w:rPr>
                <w:rFonts w:eastAsia="Times New Roman" w:cs="Arial" w:ascii="Arial" w:hAnsi="Arial"/>
                <w:color w:val="000000"/>
                <w:sz w:val="16"/>
                <w:szCs w:val="16"/>
                <w:lang w:eastAsia="ru-RU"/>
              </w:rPr>
              <w:t xml:space="preserve"> 202</w:t>
            </w:r>
            <w:r>
              <w:rPr>
                <w:rFonts w:eastAsia="Times New Roman" w:cs="Arial" w:ascii="Arial" w:hAnsi="Arial"/>
                <w:color w:val="000000"/>
                <w:sz w:val="16"/>
                <w:szCs w:val="16"/>
                <w:lang w:eastAsia="ru-RU"/>
              </w:rPr>
              <w:t>5</w:t>
            </w:r>
            <w:r>
              <w:rPr>
                <w:rFonts w:eastAsia="Times New Roman" w:cs="Arial" w:ascii="Arial" w:hAnsi="Arial"/>
                <w:color w:val="000000"/>
                <w:sz w:val="16"/>
                <w:szCs w:val="16"/>
                <w:lang w:eastAsia="ru-RU"/>
              </w:rPr>
              <w:t xml:space="preserve"> года</w:t>
            </w:r>
          </w:p>
        </w:tc>
      </w:tr>
      <w:tr>
        <w:trPr>
          <w:trHeight w:val="1979" w:hRule="atLeast"/>
        </w:trPr>
        <w:tc>
          <w:tcPr>
            <w:tcW w:w="13200" w:type="dxa"/>
            <w:tcBorders>
              <w:left w:val="single" w:sz="4" w:space="0" w:color="000000"/>
              <w:bottom w:val="single" w:sz="4" w:space="0" w:color="000000"/>
              <w:right w:val="single" w:sz="4" w:space="0" w:color="000000"/>
            </w:tcBorders>
            <w:shd w:color="auto" w:fill="auto" w:val="clear"/>
          </w:tcPr>
          <w:p>
            <w:pPr>
              <w:pStyle w:val="Normal"/>
              <w:tabs>
                <w:tab w:val="clear" w:pos="708"/>
                <w:tab w:val="left" w:pos="709" w:leader="none"/>
              </w:tabs>
              <w:spacing w:before="0" w:after="160"/>
              <w:ind w:right="-1" w:hanging="0"/>
              <w:jc w:val="both"/>
              <w:rPr>
                <w:rFonts w:ascii="Arial" w:hAnsi="Arial"/>
                <w:sz w:val="16"/>
                <w:szCs w:val="16"/>
              </w:rPr>
            </w:pPr>
            <w:r>
              <w:rPr>
                <w:rFonts w:eastAsia="Times New Roman" w:cs="PT Astra Serif" w:ascii="Arial" w:hAnsi="Arial"/>
                <w:color w:val="000000"/>
                <w:sz w:val="16"/>
                <w:szCs w:val="16"/>
                <w:lang w:eastAsia="ru-RU"/>
              </w:rPr>
              <w:t>Л</w:t>
            </w:r>
            <w:r>
              <w:rPr>
                <w:rFonts w:eastAsia="Times New Roman" w:cs="PT Astra Serif" w:ascii="Arial" w:hAnsi="Arial"/>
                <w:color w:val="000000"/>
                <w:sz w:val="16"/>
                <w:szCs w:val="16"/>
                <w:lang w:eastAsia="ru-RU"/>
              </w:rPr>
              <w:t>ьготн</w:t>
            </w:r>
            <w:r>
              <w:rPr>
                <w:rFonts w:eastAsia="Times New Roman" w:cs="PT Astra Serif" w:ascii="Arial" w:hAnsi="Arial"/>
                <w:color w:val="000000"/>
                <w:sz w:val="16"/>
                <w:szCs w:val="16"/>
                <w:lang w:eastAsia="ru-RU"/>
              </w:rPr>
              <w:t>ая</w:t>
            </w:r>
            <w:r>
              <w:rPr>
                <w:rFonts w:eastAsia="Times New Roman" w:cs="PT Astra Serif" w:ascii="Arial" w:hAnsi="Arial"/>
                <w:color w:val="000000"/>
                <w:sz w:val="16"/>
                <w:szCs w:val="16"/>
                <w:lang w:eastAsia="ru-RU"/>
              </w:rPr>
              <w:t xml:space="preserve"> ставк</w:t>
            </w:r>
            <w:r>
              <w:rPr>
                <w:rFonts w:eastAsia="Times New Roman" w:cs="PT Astra Serif" w:ascii="Arial" w:hAnsi="Arial"/>
                <w:color w:val="000000"/>
                <w:sz w:val="16"/>
                <w:szCs w:val="16"/>
                <w:lang w:eastAsia="ru-RU"/>
              </w:rPr>
              <w:t>а</w:t>
            </w:r>
            <w:r>
              <w:rPr>
                <w:rFonts w:eastAsia="Times New Roman" w:cs="PT Astra Serif" w:ascii="Arial" w:hAnsi="Arial"/>
                <w:color w:val="000000"/>
                <w:sz w:val="16"/>
                <w:szCs w:val="16"/>
                <w:lang w:eastAsia="ru-RU"/>
              </w:rPr>
              <w:t xml:space="preserve"> за 1 кВт запрашиваемой максимальной мощности при технологическом присоединении объектов микрогенерации (за исключением случаев подачи заявки Заявителем - юридическим лицом или индивидуальным предпринимателем в целях одновременного присоединения энергопринимающих устройств и объектов микрогенерации), в том числе при одновременном технологическом присоединении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и объектов микрогенерации, а также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за исключением случаев, указанных в пункте 2 настоящего постановления, устанавливаемая в отношении всей совокупности мероприятий по технологическому присоединению, при присоединении энергопринимающих устройств и (или) объектов микрогенерации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в которую подана заявка, составляет не более 300 метров в городах и поселках городского типа и не более 500 метров в сельской местности</w:t>
            </w:r>
          </w:p>
        </w:tc>
        <w:tc>
          <w:tcPr>
            <w:tcW w:w="2676" w:type="dxa"/>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Arial" w:hAnsi="Arial" w:eastAsia="Times New Roman" w:cs="Arial"/>
                <w:color w:val="000000"/>
                <w:sz w:val="16"/>
                <w:szCs w:val="16"/>
                <w:lang w:eastAsia="ru-RU"/>
              </w:rPr>
            </w:pPr>
            <w:r>
              <w:rPr>
                <w:rFonts w:eastAsia="Times New Roman" w:cs="Arial" w:ascii="Arial" w:hAnsi="Arial"/>
                <w:color w:val="000000"/>
                <w:sz w:val="16"/>
                <w:szCs w:val="16"/>
                <w:lang w:eastAsia="ru-RU"/>
              </w:rPr>
              <w:t>5 303,78</w:t>
            </w:r>
          </w:p>
        </w:tc>
      </w:tr>
      <w:tr>
        <w:trPr>
          <w:trHeight w:val="1214" w:hRule="atLeast"/>
        </w:trPr>
        <w:tc>
          <w:tcPr>
            <w:tcW w:w="13200" w:type="dxa"/>
            <w:tcBorders>
              <w:left w:val="single" w:sz="4" w:space="0" w:color="000000"/>
              <w:bottom w:val="single" w:sz="4" w:space="0" w:color="000000"/>
              <w:right w:val="single" w:sz="4" w:space="0" w:color="000000"/>
            </w:tcBorders>
            <w:shd w:color="auto" w:fill="auto" w:val="clear"/>
          </w:tcPr>
          <w:p>
            <w:pPr>
              <w:pStyle w:val="Normal"/>
              <w:tabs>
                <w:tab w:val="clear" w:pos="708"/>
                <w:tab w:val="left" w:pos="709" w:leader="none"/>
              </w:tabs>
              <w:spacing w:before="0" w:after="160"/>
              <w:ind w:right="-1" w:hanging="0"/>
              <w:jc w:val="both"/>
              <w:rPr>
                <w:rFonts w:ascii="Arial" w:hAnsi="Arial"/>
                <w:sz w:val="16"/>
                <w:szCs w:val="16"/>
              </w:rPr>
            </w:pPr>
            <w:r>
              <w:rPr>
                <w:rFonts w:eastAsia="Times New Roman" w:cs="PT Astra Serif" w:ascii="Arial" w:hAnsi="Arial"/>
                <w:color w:val="000000"/>
                <w:sz w:val="16"/>
                <w:szCs w:val="16"/>
                <w:lang w:eastAsia="ru-RU"/>
              </w:rPr>
              <w:t>Л</w:t>
            </w:r>
            <w:r>
              <w:rPr>
                <w:rFonts w:eastAsia="Times New Roman" w:cs="PT Astra Serif" w:ascii="Arial" w:hAnsi="Arial"/>
                <w:color w:val="000000"/>
                <w:sz w:val="16"/>
                <w:szCs w:val="16"/>
                <w:lang w:eastAsia="ru-RU"/>
              </w:rPr>
              <w:t>ьготн</w:t>
            </w:r>
            <w:r>
              <w:rPr>
                <w:rFonts w:eastAsia="Times New Roman" w:cs="PT Astra Serif" w:ascii="Arial" w:hAnsi="Arial"/>
                <w:color w:val="000000"/>
                <w:sz w:val="16"/>
                <w:szCs w:val="16"/>
                <w:lang w:eastAsia="ru-RU"/>
              </w:rPr>
              <w:t>ая</w:t>
            </w:r>
            <w:r>
              <w:rPr>
                <w:rFonts w:eastAsia="Times New Roman" w:cs="PT Astra Serif" w:ascii="Arial" w:hAnsi="Arial"/>
                <w:color w:val="000000"/>
                <w:sz w:val="16"/>
                <w:szCs w:val="16"/>
                <w:lang w:eastAsia="ru-RU"/>
              </w:rPr>
              <w:t xml:space="preserve"> ставк</w:t>
            </w:r>
            <w:r>
              <w:rPr>
                <w:rFonts w:eastAsia="Times New Roman" w:cs="PT Astra Serif" w:ascii="Arial" w:hAnsi="Arial"/>
                <w:color w:val="000000"/>
                <w:sz w:val="16"/>
                <w:szCs w:val="16"/>
                <w:lang w:eastAsia="ru-RU"/>
              </w:rPr>
              <w:t>а</w:t>
            </w:r>
            <w:r>
              <w:rPr>
                <w:rFonts w:eastAsia="Times New Roman" w:cs="PT Astra Serif" w:ascii="Arial" w:hAnsi="Arial"/>
                <w:color w:val="000000"/>
                <w:sz w:val="16"/>
                <w:szCs w:val="16"/>
                <w:lang w:eastAsia="ru-RU"/>
              </w:rPr>
              <w:t xml:space="preserve"> за 1 кВт запрашиваемой максимальной мощности при технологическом присоединении для случаев подачи заявки Заявителем - юридическим лицом или индивидуальным предпринимателем объектов микрогенерации, а также одновременного технологического присоединения объектов микрогенерации и энергопринимающих устройств максимальной мощностью не более 150 кВт (с учетом ранее присоединенных в данной точке присоединения энергопринимающих устройств),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и (или) объектов микрогенерации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w:t>
            </w:r>
          </w:p>
        </w:tc>
        <w:tc>
          <w:tcPr>
            <w:tcW w:w="2676" w:type="dxa"/>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Arial" w:hAnsi="Arial" w:eastAsia="Times New Roman" w:cs="Arial"/>
                <w:color w:val="000000"/>
                <w:sz w:val="16"/>
                <w:szCs w:val="16"/>
                <w:lang w:eastAsia="ru-RU"/>
              </w:rPr>
            </w:pPr>
            <w:r>
              <w:rPr>
                <w:rFonts w:eastAsia="Times New Roman" w:cs="Arial" w:ascii="Arial" w:hAnsi="Arial"/>
                <w:color w:val="000000"/>
                <w:sz w:val="16"/>
                <w:szCs w:val="16"/>
                <w:lang w:eastAsia="ru-RU"/>
              </w:rPr>
              <w:t>5 303,78</w:t>
            </w:r>
          </w:p>
        </w:tc>
      </w:tr>
      <w:tr>
        <w:trPr>
          <w:trHeight w:val="4323" w:hRule="atLeast"/>
        </w:trPr>
        <w:tc>
          <w:tcPr>
            <w:tcW w:w="13200" w:type="dxa"/>
            <w:tcBorders>
              <w:left w:val="single" w:sz="4" w:space="0" w:color="000000"/>
              <w:bottom w:val="single" w:sz="4" w:space="0" w:color="000000"/>
              <w:right w:val="single" w:sz="4" w:space="0" w:color="000000"/>
            </w:tcBorders>
            <w:shd w:color="auto" w:fill="auto" w:val="clear"/>
          </w:tcPr>
          <w:p>
            <w:pPr>
              <w:pStyle w:val="Normal"/>
              <w:tabs>
                <w:tab w:val="clear" w:pos="708"/>
                <w:tab w:val="left" w:pos="709" w:leader="none"/>
              </w:tabs>
              <w:spacing w:before="0" w:after="160"/>
              <w:ind w:right="-1" w:hanging="0"/>
              <w:jc w:val="both"/>
              <w:rPr>
                <w:rFonts w:ascii="Arial" w:hAnsi="Arial"/>
                <w:sz w:val="16"/>
                <w:szCs w:val="16"/>
              </w:rPr>
            </w:pPr>
            <w:r>
              <w:rPr>
                <w:rFonts w:eastAsia="Times New Roman" w:cs="PT Astra Serif" w:ascii="Arial" w:hAnsi="Arial"/>
                <w:color w:val="000000"/>
                <w:sz w:val="16"/>
                <w:szCs w:val="16"/>
                <w:lang w:eastAsia="ru-RU"/>
              </w:rPr>
              <w:t>Л</w:t>
            </w:r>
            <w:r>
              <w:rPr>
                <w:rFonts w:eastAsia="Times New Roman" w:cs="PT Astra Serif" w:ascii="Arial" w:hAnsi="Arial"/>
                <w:color w:val="000000"/>
                <w:sz w:val="16"/>
                <w:szCs w:val="16"/>
                <w:lang w:eastAsia="ru-RU"/>
              </w:rPr>
              <w:t>ьготн</w:t>
            </w:r>
            <w:r>
              <w:rPr>
                <w:rFonts w:eastAsia="Times New Roman" w:cs="PT Astra Serif" w:ascii="Arial" w:hAnsi="Arial"/>
                <w:color w:val="000000"/>
                <w:sz w:val="16"/>
                <w:szCs w:val="16"/>
                <w:lang w:eastAsia="ru-RU"/>
              </w:rPr>
              <w:t>ая</w:t>
            </w:r>
            <w:r>
              <w:rPr>
                <w:rFonts w:eastAsia="Times New Roman" w:cs="PT Astra Serif" w:ascii="Arial" w:hAnsi="Arial"/>
                <w:color w:val="000000"/>
                <w:sz w:val="16"/>
                <w:szCs w:val="16"/>
                <w:lang w:eastAsia="ru-RU"/>
              </w:rPr>
              <w:t xml:space="preserve"> ставк</w:t>
            </w:r>
            <w:r>
              <w:rPr>
                <w:rFonts w:eastAsia="Times New Roman" w:cs="PT Astra Serif" w:ascii="Arial" w:hAnsi="Arial"/>
                <w:color w:val="000000"/>
                <w:sz w:val="16"/>
                <w:szCs w:val="16"/>
                <w:lang w:eastAsia="ru-RU"/>
              </w:rPr>
              <w:t>а</w:t>
            </w:r>
            <w:r>
              <w:rPr>
                <w:rFonts w:eastAsia="Times New Roman" w:cs="PT Astra Serif" w:ascii="Arial" w:hAnsi="Arial"/>
                <w:color w:val="000000"/>
                <w:sz w:val="16"/>
                <w:szCs w:val="16"/>
                <w:lang w:eastAsia="ru-RU"/>
              </w:rPr>
              <w:t xml:space="preserve"> за 1 кВт запрашиваемой максимальной мощности при технологическом присоединении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владеющих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0,4 кВ и ниже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объектов микрогенерации, в том числе за одновременное технологическое присоединение энергопринимающих устройств и объектов микрогенерации, при заключении договора членом малообеспеченной семьи (одиноко проживающим гражданином), среднедушевой доход которой (доход которого) ниже величины прожиточного минимума, определенной в соответствии со статьей 4 Федерального закона от 24 октября 1997 года № 134-ФЗ «О прожиточном минимуме в Российской Федерации», а также лицами, указанными в статьях 14–16, 18 и 21 Федерального закона от 12 января 1995 года № 5-ФЗ «О ветеранах», статье 17 Федерального закона от 24 ноября 1995 года № 181-ФЗ «О социальной защите инвалидов в Российской Федерации», статье 14 Закона Российской Федерации от 15 мая 1991 года № 1244-1 «О социальной защите граждан, подвергшихся воздействию радиации вследствие катастрофы на Чернобыльской АЭС», статье 2 Федерального закона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части 8 статьи 154 Федерального закона от 22 августа 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статье 1 Федерального закона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пункте 1 и абзаце четвертом пункта 2 постановления 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Указе Президента Российской Федерации от 5 мая 1992 года № 431 «О мерах по социальной поддержке многодетных семей», устанавливаемая в отношении всей совокупности мероприятий по технологическому присоединению</w:t>
            </w:r>
          </w:p>
        </w:tc>
        <w:tc>
          <w:tcPr>
            <w:tcW w:w="2676" w:type="dxa"/>
            <w:tcBorders>
              <w:bottom w:val="single" w:sz="4" w:space="0" w:color="000000"/>
              <w:right w:val="single" w:sz="4" w:space="0" w:color="000000"/>
            </w:tcBorders>
            <w:shd w:color="auto" w:fill="auto" w:val="clear"/>
          </w:tcPr>
          <w:p>
            <w:pPr>
              <w:pStyle w:val="Normal"/>
              <w:tabs>
                <w:tab w:val="clear" w:pos="708"/>
                <w:tab w:val="left" w:pos="709" w:leader="none"/>
              </w:tabs>
              <w:spacing w:before="0" w:after="160"/>
              <w:ind w:right="-1" w:hanging="0"/>
              <w:jc w:val="center"/>
              <w:rPr>
                <w:sz w:val="16"/>
                <w:szCs w:val="16"/>
              </w:rPr>
            </w:pPr>
            <w:r>
              <w:rPr>
                <w:rFonts w:eastAsia="Times New Roman" w:cs="PT Astra Serif" w:ascii="PT Astra Serif" w:hAnsi="PT Astra Serif"/>
                <w:color w:val="000000"/>
                <w:sz w:val="16"/>
                <w:szCs w:val="16"/>
                <w:lang w:eastAsia="ru-RU"/>
              </w:rPr>
              <w:t>998,98</w:t>
            </w:r>
          </w:p>
        </w:tc>
      </w:tr>
    </w:tbl>
    <w:p>
      <w:pPr>
        <w:pStyle w:val="Normal"/>
        <w:rPr>
          <w:rFonts w:ascii="Times New Roman" w:hAnsi="Times New Roman"/>
        </w:rPr>
      </w:pPr>
      <w:r>
        <w:rPr>
          <w:rFonts w:ascii="Times New Roman" w:hAnsi="Times New Roman"/>
        </w:rPr>
      </w:r>
    </w:p>
    <w:p>
      <w:pPr>
        <w:pStyle w:val="Normal"/>
        <w:spacing w:before="0" w:after="160"/>
        <w:rPr>
          <w:rFonts w:ascii="Times New Roman" w:hAnsi="Times New Roman"/>
        </w:rPr>
      </w:pPr>
      <w:r>
        <w:rPr>
          <w:rFonts w:ascii="Times New Roman" w:hAnsi="Times New Roman"/>
          <w:sz w:val="20"/>
        </w:rPr>
        <w:t>Текст постановления опубликован на сайте электронного периодического издания "Новости Саратовской губернии" (</w:t>
      </w:r>
      <w:hyperlink r:id="rId7">
        <w:r>
          <w:rPr>
            <w:rStyle w:val="-"/>
            <w:rFonts w:ascii="Times New Roman" w:hAnsi="Times New Roman"/>
            <w:sz w:val="20"/>
          </w:rPr>
          <w:t>http://g-64.ru/</w:t>
        </w:r>
      </w:hyperlink>
      <w:r>
        <w:rPr>
          <w:rFonts w:ascii="Times New Roman" w:hAnsi="Times New Roman"/>
          <w:sz w:val="20"/>
        </w:rPr>
        <w:t xml:space="preserve">) </w:t>
      </w:r>
      <w:r>
        <w:rPr>
          <w:rFonts w:ascii="Times New Roman" w:hAnsi="Times New Roman"/>
          <w:sz w:val="20"/>
        </w:rPr>
        <w:t>7</w:t>
      </w:r>
      <w:r>
        <w:rPr>
          <w:rFonts w:ascii="Times New Roman" w:hAnsi="Times New Roman"/>
          <w:sz w:val="20"/>
        </w:rPr>
        <w:t xml:space="preserve"> декабря 202</w:t>
      </w:r>
      <w:r>
        <w:rPr>
          <w:rFonts w:ascii="Times New Roman" w:hAnsi="Times New Roman"/>
          <w:sz w:val="20"/>
        </w:rPr>
        <w:t>4</w:t>
      </w:r>
      <w:r>
        <w:rPr>
          <w:rFonts w:ascii="Times New Roman" w:hAnsi="Times New Roman"/>
          <w:sz w:val="20"/>
        </w:rPr>
        <w:t> г.</w:t>
      </w:r>
    </w:p>
    <w:sectPr>
      <w:type w:val="nextPage"/>
      <w:pgSz w:orient="landscape" w:w="16838" w:h="11906"/>
      <w:pgMar w:left="1134" w:right="567" w:gutter="0" w:header="0" w:top="567" w:footer="0"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Arial">
    <w:charset w:val="01"/>
    <w:family w:val="roman"/>
    <w:pitch w:val="default"/>
  </w:font>
  <w:font w:name="Times New Roman">
    <w:charset w:val="01"/>
    <w:family w:val="roman"/>
    <w:pitch w:val="default"/>
  </w:font>
  <w:font w:name="PT Astra Serif">
    <w:charset w:val="01"/>
    <w:family w:val="roman"/>
    <w:pitch w:val="default"/>
  </w:font>
  <w:font w:name="Arial">
    <w:charset w:val="01"/>
    <w:family w:val="swiss"/>
    <w:pitch w:val="default"/>
  </w:font>
  <w:font w:name="PT Astra Serif">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56e1c"/>
    <w:pPr>
      <w:widowControl/>
      <w:bidi w:val="0"/>
      <w:spacing w:lineRule="auto" w:line="259" w:before="0" w:after="160"/>
      <w:jc w:val="left"/>
    </w:pPr>
    <w:rPr>
      <w:rFonts w:ascii="Calibri" w:hAnsi="Calibri" w:eastAsia="Calibri" w:cs="Times New Roman"/>
      <w:color w:val="auto"/>
      <w:kern w:val="0"/>
      <w:sz w:val="22"/>
      <w:szCs w:val="22"/>
      <w:lang w:eastAsia="en-US" w:val="ru-RU" w:bidi="ar-SA"/>
    </w:rPr>
  </w:style>
  <w:style w:type="paragraph" w:styleId="1">
    <w:name w:val="Heading 1"/>
    <w:basedOn w:val="Normal"/>
    <w:next w:val="Normal"/>
    <w:link w:val="11"/>
    <w:uiPriority w:val="99"/>
    <w:qFormat/>
    <w:rsid w:val="0008661e"/>
    <w:pPr>
      <w:widowControl w:val="false"/>
      <w:spacing w:lineRule="auto" w:line="240" w:before="108" w:after="108"/>
      <w:jc w:val="center"/>
      <w:outlineLvl w:val="0"/>
    </w:pPr>
    <w:rPr>
      <w:rFonts w:ascii="Arial" w:hAnsi="Arial" w:eastAsia="" w:cs="Arial" w:eastAsiaTheme="minorEastAsia"/>
      <w:b/>
      <w:bCs/>
      <w:color w:val="26282F"/>
      <w:sz w:val="24"/>
      <w:szCs w:val="24"/>
      <w:lang w:eastAsia="ru-RU"/>
    </w:rPr>
  </w:style>
  <w:style w:type="character" w:styleId="DefaultParagraphFont" w:default="1">
    <w:name w:val="Default Paragraph Font"/>
    <w:uiPriority w:val="1"/>
    <w:semiHidden/>
    <w:unhideWhenUsed/>
    <w:qFormat/>
    <w:rPr/>
  </w:style>
  <w:style w:type="character" w:styleId="Style13" w:customStyle="1">
    <w:name w:val="Верхний колонтитул Знак"/>
    <w:semiHidden/>
    <w:qFormat/>
    <w:rsid w:val="00687b5e"/>
    <w:rPr>
      <w:rFonts w:ascii="Times New Roman" w:hAnsi="Times New Roman" w:eastAsia="Times New Roman" w:cs="Times New Roman"/>
      <w:sz w:val="20"/>
      <w:szCs w:val="20"/>
      <w:lang w:eastAsia="ru-RU"/>
    </w:rPr>
  </w:style>
  <w:style w:type="character" w:styleId="Strong">
    <w:name w:val="Strong"/>
    <w:uiPriority w:val="22"/>
    <w:qFormat/>
    <w:rsid w:val="005a2a1e"/>
    <w:rPr>
      <w:b/>
      <w:bCs/>
    </w:rPr>
  </w:style>
  <w:style w:type="character" w:styleId="-">
    <w:name w:val="Hyperlink"/>
    <w:uiPriority w:val="99"/>
    <w:unhideWhenUsed/>
    <w:rsid w:val="005a2a1e"/>
    <w:rPr>
      <w:color w:val="0000FF"/>
      <w:u w:val="single"/>
    </w:rPr>
  </w:style>
  <w:style w:type="character" w:styleId="Style14" w:customStyle="1">
    <w:name w:val="Основной текст Знак"/>
    <w:uiPriority w:val="1"/>
    <w:qFormat/>
    <w:rsid w:val="00787a07"/>
    <w:rPr>
      <w:rFonts w:ascii="Arial" w:hAnsi="Arial" w:eastAsia="Arial" w:cs="Arial"/>
      <w:sz w:val="16"/>
      <w:szCs w:val="16"/>
      <w:lang w:bidi="ru-RU"/>
    </w:rPr>
  </w:style>
  <w:style w:type="character" w:styleId="Style15">
    <w:name w:val="FollowedHyperlink"/>
    <w:uiPriority w:val="99"/>
    <w:semiHidden/>
    <w:unhideWhenUsed/>
    <w:rsid w:val="00d6301b"/>
    <w:rPr>
      <w:color w:val="954F72"/>
      <w:u w:val="single"/>
    </w:rPr>
  </w:style>
  <w:style w:type="character" w:styleId="Style16" w:customStyle="1">
    <w:name w:val="Гипертекстовая ссылка"/>
    <w:basedOn w:val="DefaultParagraphFont"/>
    <w:uiPriority w:val="99"/>
    <w:qFormat/>
    <w:rsid w:val="003f7f82"/>
    <w:rPr>
      <w:b w:val="false"/>
      <w:bCs w:val="false"/>
      <w:color w:val="106BBE"/>
    </w:rPr>
  </w:style>
  <w:style w:type="character" w:styleId="11" w:customStyle="1">
    <w:name w:val="Заголовок 1 Знак"/>
    <w:basedOn w:val="DefaultParagraphFont"/>
    <w:uiPriority w:val="99"/>
    <w:qFormat/>
    <w:rsid w:val="0008661e"/>
    <w:rPr>
      <w:rFonts w:ascii="Arial" w:hAnsi="Arial" w:eastAsia="" w:cs="Arial" w:eastAsiaTheme="minorEastAsia"/>
      <w:b/>
      <w:bCs/>
      <w:color w:val="26282F"/>
      <w:sz w:val="24"/>
      <w:szCs w:val="24"/>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link w:val="Style14"/>
    <w:uiPriority w:val="1"/>
    <w:qFormat/>
    <w:rsid w:val="00787a07"/>
    <w:pPr>
      <w:widowControl w:val="false"/>
      <w:spacing w:lineRule="auto" w:line="240" w:before="0" w:after="0"/>
    </w:pPr>
    <w:rPr>
      <w:rFonts w:ascii="Arial" w:hAnsi="Arial" w:eastAsia="Arial" w:cs="Arial"/>
      <w:sz w:val="16"/>
      <w:szCs w:val="16"/>
      <w:lang w:val="x-none" w:eastAsia="x-none" w:bidi="ru-RU"/>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rPr>
  </w:style>
  <w:style w:type="paragraph" w:styleId="Style22">
    <w:name w:val="Колонтитул"/>
    <w:basedOn w:val="Normal"/>
    <w:qFormat/>
    <w:pPr/>
    <w:rPr/>
  </w:style>
  <w:style w:type="paragraph" w:styleId="Style23">
    <w:name w:val="Header"/>
    <w:basedOn w:val="Normal"/>
    <w:link w:val="Style13"/>
    <w:semiHidden/>
    <w:unhideWhenUsed/>
    <w:rsid w:val="00687b5e"/>
    <w:pPr>
      <w:tabs>
        <w:tab w:val="clear" w:pos="708"/>
        <w:tab w:val="center" w:pos="4153" w:leader="none"/>
        <w:tab w:val="right" w:pos="8306" w:leader="none"/>
      </w:tabs>
      <w:spacing w:lineRule="auto" w:line="240" w:before="0" w:after="0"/>
    </w:pPr>
    <w:rPr>
      <w:rFonts w:ascii="Times New Roman" w:hAnsi="Times New Roman" w:eastAsia="Times New Roman"/>
      <w:sz w:val="20"/>
      <w:szCs w:val="20"/>
      <w:lang w:val="x-none" w:eastAsia="ru-RU"/>
    </w:rPr>
  </w:style>
  <w:style w:type="paragraph" w:styleId="ListParagraph">
    <w:name w:val="List Paragraph"/>
    <w:basedOn w:val="Normal"/>
    <w:uiPriority w:val="1"/>
    <w:qFormat/>
    <w:rsid w:val="005a2a1e"/>
    <w:pPr>
      <w:spacing w:before="0" w:after="160"/>
      <w:ind w:left="720" w:hanging="0"/>
      <w:contextualSpacing/>
    </w:pPr>
    <w:rPr>
      <w:rFonts w:eastAsia="Times New Roman"/>
      <w:lang w:eastAsia="ru-RU"/>
    </w:rPr>
  </w:style>
  <w:style w:type="paragraph" w:styleId="NormalWeb">
    <w:name w:val="Normal (Web)"/>
    <w:basedOn w:val="Normal"/>
    <w:uiPriority w:val="99"/>
    <w:semiHidden/>
    <w:unhideWhenUsed/>
    <w:qFormat/>
    <w:rsid w:val="002d2739"/>
    <w:pPr>
      <w:spacing w:lineRule="auto" w:line="240" w:beforeAutospacing="1" w:afterAutospacing="1"/>
    </w:pPr>
    <w:rPr>
      <w:rFonts w:ascii="Times New Roman" w:hAnsi="Times New Roman" w:eastAsia="Times New Roman"/>
      <w:sz w:val="24"/>
      <w:szCs w:val="24"/>
      <w:lang w:eastAsia="ru-RU"/>
    </w:rPr>
  </w:style>
  <w:style w:type="paragraph" w:styleId="Style24" w:customStyle="1">
    <w:name w:val="Прижатый влево"/>
    <w:basedOn w:val="Normal"/>
    <w:next w:val="Normal"/>
    <w:uiPriority w:val="99"/>
    <w:qFormat/>
    <w:rsid w:val="00a1354b"/>
    <w:pPr>
      <w:spacing w:lineRule="auto" w:line="240" w:before="0" w:after="0"/>
    </w:pPr>
    <w:rPr>
      <w:rFonts w:ascii="Arial" w:hAnsi="Arial" w:cs="Arial"/>
      <w:sz w:val="24"/>
      <w:szCs w:val="24"/>
      <w:lang w:eastAsia="ru-RU"/>
    </w:rPr>
  </w:style>
  <w:style w:type="paragraph" w:styleId="TableParagraph" w:customStyle="1">
    <w:name w:val="Table Paragraph"/>
    <w:basedOn w:val="Normal"/>
    <w:uiPriority w:val="1"/>
    <w:qFormat/>
    <w:rsid w:val="00ba3ea6"/>
    <w:pPr>
      <w:widowControl w:val="false"/>
      <w:spacing w:lineRule="auto" w:line="240" w:before="0" w:after="0"/>
    </w:pPr>
    <w:rPr>
      <w:rFonts w:ascii="Arial" w:hAnsi="Arial" w:eastAsia="Arial" w:cs="Arial"/>
      <w:lang w:eastAsia="ru-RU" w:bidi="ru-RU"/>
    </w:rPr>
  </w:style>
  <w:style w:type="paragraph" w:styleId="ConsPlusNormal" w:customStyle="1">
    <w:name w:val="ConsPlusNormal"/>
    <w:qFormat/>
    <w:rsid w:val="007a0706"/>
    <w:pPr>
      <w:widowControl w:val="false"/>
      <w:bidi w:val="0"/>
      <w:spacing w:before="0" w:after="0"/>
      <w:jc w:val="left"/>
    </w:pPr>
    <w:rPr>
      <w:rFonts w:eastAsia="Times New Roman" w:cs="Calibri" w:ascii="Calibri" w:hAnsi="Calibri"/>
      <w:color w:val="auto"/>
      <w:kern w:val="0"/>
      <w:sz w:val="22"/>
      <w:szCs w:val="20"/>
      <w:lang w:val="ru-RU" w:eastAsia="ru-RU" w:bidi="ar-SA"/>
    </w:rPr>
  </w:style>
  <w:style w:type="paragraph" w:styleId="Style25" w:customStyle="1">
    <w:name w:val="Нормальный (таблица)"/>
    <w:basedOn w:val="Normal"/>
    <w:next w:val="Normal"/>
    <w:uiPriority w:val="99"/>
    <w:qFormat/>
    <w:rsid w:val="008032db"/>
    <w:pPr>
      <w:widowControl w:val="false"/>
      <w:spacing w:lineRule="auto" w:line="240" w:before="0" w:after="0"/>
      <w:jc w:val="both"/>
    </w:pPr>
    <w:rPr>
      <w:rFonts w:ascii="Arial" w:hAnsi="Arial" w:eastAsia="" w:cs="Arial" w:eastAsiaTheme="minorEastAsia"/>
      <w:sz w:val="24"/>
      <w:szCs w:val="24"/>
      <w:lang w:eastAsia="ru-RU"/>
    </w:rPr>
  </w:style>
  <w:style w:type="paragraph" w:styleId="Style26">
    <w:name w:val="Содержимое таблицы"/>
    <w:basedOn w:val="Normal"/>
    <w:qFormat/>
    <w:pPr>
      <w:widowControl w:val="false"/>
      <w:suppressLineNumbers/>
    </w:pPr>
    <w:rPr/>
  </w:style>
  <w:style w:type="paragraph" w:styleId="Style27">
    <w:name w:val="Заголовок таблицы"/>
    <w:basedOn w:val="Style26"/>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687b5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2"/>
    <w:semiHidden/>
    <w:unhideWhenUsed/>
    <w:qFormat/>
    <w:rsid w:val="00ba3ea6"/>
    <w:rPr>
      <w:lang w:val="en-US" w:eastAsia="en-US"/>
      <w:sz w:val="22"/>
      <w:szCs w:val="22"/>
    </w:rPr>
    <w:tblPr>
      <w:tblCellMar>
        <w:top w:w="0" w:type="dxa"/>
        <w:left w:w="0" w:type="dxa"/>
        <w:bottom w:w="0" w:type="dxa"/>
        <w:right w:w="0" w:type="dxa"/>
      </w:tblCellMar>
    </w:tblPr>
  </w:style>
  <w:style w:type="table" w:customStyle="1" w:styleId="TableNormal1">
    <w:name w:val="Table Normal1"/>
    <w:uiPriority w:val="2"/>
    <w:semiHidden/>
    <w:unhideWhenUsed/>
    <w:qFormat/>
    <w:rsid w:val="00787a07"/>
    <w:rPr>
      <w:lang w:val="en-US" w:eastAsia="en-US"/>
      <w:sz w:val="22"/>
      <w:szCs w:val="22"/>
    </w:rPr>
    <w:tblPr>
      <w:tblCellMar>
        <w:top w:w="0" w:type="dxa"/>
        <w:left w:w="0" w:type="dxa"/>
        <w:bottom w:w="0" w:type="dxa"/>
        <w:right w:w="0" w:type="dxa"/>
      </w:tblCellMar>
    </w:tblPr>
  </w:style>
  <w:style w:type="table" w:customStyle="1" w:styleId="TableNormal2">
    <w:name w:val="Table Normal2"/>
    <w:uiPriority w:val="2"/>
    <w:semiHidden/>
    <w:unhideWhenUsed/>
    <w:qFormat/>
    <w:rsid w:val="00787a07"/>
    <w:rPr>
      <w:lang w:val="en-US" w:eastAsia="en-US"/>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64.ru/docs/komitet-gosudarstvennogo-regulirovaniya-tarifov-oblasti/postanovlenie-komiteta-gosudarstvennogo-regulirovaniya-tarifov-saratovskoy-oblasti-ot-29-noyabrya-2024-goda-84/" TargetMode="External"/><Relationship Id="rId3" Type="http://schemas.openxmlformats.org/officeDocument/2006/relationships/hyperlink" Target="http://g-64.ru/" TargetMode="External"/><Relationship Id="rId4" Type="http://schemas.openxmlformats.org/officeDocument/2006/relationships/hyperlink" Target="https://g-64.ru/docs/komitet-gosudarstvennogo-regulirovaniya-tarifov-oblasti/postanovlenie-komiteta-gosudarstvennogo-regulirovaniya-tarifov-saratovskoy-oblasti-ot-29-noyabrya-2024-goda-79/" TargetMode="External"/><Relationship Id="rId5" Type="http://schemas.openxmlformats.org/officeDocument/2006/relationships/hyperlink" Target="http://g-64.ru/" TargetMode="External"/><Relationship Id="rId6" Type="http://schemas.openxmlformats.org/officeDocument/2006/relationships/hyperlink" Target="https://g-64.ru/docs/komitet-gosudarstvennogo-regulirovaniya-tarifov-oblasti/postanovlenie-komiteta-gosudarstvennogo-regulirovaniya-tarifov-saratovskoy-oblasti-ot-29-noyabrya-2024-goda-78/" TargetMode="External"/><Relationship Id="rId7" Type="http://schemas.openxmlformats.org/officeDocument/2006/relationships/hyperlink" Target="http://g-64.ru/"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2B7B9-F40C-4B82-9183-E9CA4DACD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Application>LibreOffice/7.5.6.2$Linux_X86_64 LibreOffice_project/50$Build-2</Application>
  <AppVersion>15.0000</AppVersion>
  <Pages>14</Pages>
  <Words>4203</Words>
  <Characters>25391</Characters>
  <CharactersWithSpaces>28971</CharactersWithSpaces>
  <Paragraphs>850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2021-01-11T06:49:00Z</dcterms:created>
  <dc:creator>Orlov Aleksandr Sergeevich</dc:creator>
  <dc:description/>
  <dc:language>ru-RU</dc:language>
  <cp:lastModifiedBy/>
  <dcterms:modified xsi:type="dcterms:W3CDTF">2024-12-11T10:04:01Z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